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D0561" w14:textId="2EC5C3CF" w:rsidR="003143AD" w:rsidRPr="00103BEB" w:rsidRDefault="003143AD" w:rsidP="003143AD">
      <w:pPr>
        <w:pStyle w:val="Title"/>
        <w:jc w:val="center"/>
      </w:pPr>
      <w:r>
        <w:t>T</w:t>
      </w:r>
      <w:r w:rsidR="00E91088">
        <w:t>exas</w:t>
      </w:r>
      <w:r>
        <w:t xml:space="preserve"> </w:t>
      </w:r>
      <w:r w:rsidR="00B249A9">
        <w:t xml:space="preserve">Department of Criminal Justice </w:t>
      </w:r>
    </w:p>
    <w:p w14:paraId="42C45053" w14:textId="77777777" w:rsidR="003143AD" w:rsidRDefault="003143AD" w:rsidP="003143AD">
      <w:pPr>
        <w:jc w:val="center"/>
        <w:rPr>
          <w:rFonts w:ascii="Verdana" w:hAnsi="Verdana"/>
          <w:sz w:val="24"/>
          <w:szCs w:val="24"/>
        </w:rPr>
      </w:pPr>
    </w:p>
    <w:p w14:paraId="004A6430" w14:textId="38429824" w:rsidR="003143AD" w:rsidRDefault="00DC7553" w:rsidP="003143AD">
      <w:pPr>
        <w:spacing w:after="840"/>
        <w:jc w:val="center"/>
        <w:rPr>
          <w:rFonts w:ascii="Verdana" w:hAnsi="Verdana"/>
          <w:sz w:val="24"/>
          <w:szCs w:val="24"/>
        </w:rPr>
      </w:pPr>
      <w:r>
        <w:rPr>
          <w:rFonts w:ascii="Verdana" w:hAnsi="Verdana"/>
          <w:noProof/>
        </w:rPr>
        <w:drawing>
          <wp:inline distT="0" distB="0" distL="0" distR="0" wp14:anchorId="69248AD1" wp14:editId="77E364F9">
            <wp:extent cx="1806910" cy="1806910"/>
            <wp:effectExtent l="0" t="0" r="317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806910" cy="1806910"/>
                    </a:xfrm>
                    <a:prstGeom prst="rect">
                      <a:avLst/>
                    </a:prstGeom>
                    <a:noFill/>
                    <a:ln>
                      <a:noFill/>
                    </a:ln>
                  </pic:spPr>
                </pic:pic>
              </a:graphicData>
            </a:graphic>
          </wp:inline>
        </w:drawing>
      </w:r>
    </w:p>
    <w:p w14:paraId="40F2255B" w14:textId="77777777" w:rsidR="003143AD" w:rsidRDefault="003143AD" w:rsidP="003143AD">
      <w:pPr>
        <w:pStyle w:val="Subtitle"/>
        <w:spacing w:after="720"/>
      </w:pPr>
      <w:r>
        <w:t>Exofficio Report to Governor’s Committee on People with Disabilities</w:t>
      </w:r>
    </w:p>
    <w:p w14:paraId="248FFC70" w14:textId="3BD182A6" w:rsidR="003143AD" w:rsidRDefault="00FA1AA1" w:rsidP="000B7AF5">
      <w:pPr>
        <w:spacing w:after="720"/>
        <w:jc w:val="center"/>
        <w:rPr>
          <w:rFonts w:ascii="Verdana" w:hAnsi="Verdana"/>
          <w:sz w:val="24"/>
          <w:szCs w:val="24"/>
        </w:rPr>
      </w:pPr>
      <w:r>
        <w:rPr>
          <w:rFonts w:ascii="Verdana" w:hAnsi="Verdana"/>
          <w:sz w:val="24"/>
          <w:szCs w:val="24"/>
        </w:rPr>
        <w:t xml:space="preserve">January </w:t>
      </w:r>
      <w:r w:rsidR="00E0373F">
        <w:rPr>
          <w:rFonts w:ascii="Verdana" w:hAnsi="Verdana"/>
          <w:sz w:val="24"/>
          <w:szCs w:val="24"/>
        </w:rPr>
        <w:t>21</w:t>
      </w:r>
      <w:r>
        <w:rPr>
          <w:rFonts w:ascii="Verdana" w:hAnsi="Verdana"/>
          <w:sz w:val="24"/>
          <w:szCs w:val="24"/>
        </w:rPr>
        <w:t>, 2026</w:t>
      </w:r>
    </w:p>
    <w:p w14:paraId="42D41786" w14:textId="77777777" w:rsidR="003143AD" w:rsidRDefault="003143AD" w:rsidP="000B7AF5">
      <w:pPr>
        <w:spacing w:after="0"/>
        <w:jc w:val="center"/>
        <w:rPr>
          <w:rFonts w:ascii="Verdana" w:hAnsi="Verdana"/>
          <w:sz w:val="24"/>
          <w:szCs w:val="24"/>
        </w:rPr>
      </w:pPr>
    </w:p>
    <w:p w14:paraId="5D974A6B" w14:textId="78AB81DB" w:rsidR="003143AD" w:rsidRDefault="003143AD" w:rsidP="000B7AF5">
      <w:pPr>
        <w:spacing w:after="240" w:line="240" w:lineRule="auto"/>
        <w:contextualSpacing/>
        <w:jc w:val="center"/>
        <w:rPr>
          <w:rFonts w:ascii="Verdana" w:hAnsi="Verdana"/>
          <w:sz w:val="24"/>
          <w:szCs w:val="24"/>
        </w:rPr>
      </w:pPr>
      <w:r>
        <w:rPr>
          <w:rFonts w:ascii="Verdana" w:hAnsi="Verdana"/>
          <w:sz w:val="24"/>
          <w:szCs w:val="24"/>
        </w:rPr>
        <w:t>Report submitted by</w:t>
      </w:r>
      <w:r w:rsidR="00FA1AA1">
        <w:rPr>
          <w:rFonts w:ascii="Verdana" w:hAnsi="Verdana"/>
          <w:sz w:val="24"/>
          <w:szCs w:val="24"/>
        </w:rPr>
        <w:t>:</w:t>
      </w:r>
    </w:p>
    <w:p w14:paraId="100EC371" w14:textId="3CD4E2A1" w:rsidR="003143AD" w:rsidRDefault="00FA1AA1" w:rsidP="000B7AF5">
      <w:pPr>
        <w:spacing w:after="240" w:line="240" w:lineRule="auto"/>
        <w:contextualSpacing/>
        <w:jc w:val="center"/>
        <w:rPr>
          <w:rFonts w:ascii="Verdana" w:hAnsi="Verdana"/>
          <w:sz w:val="24"/>
          <w:szCs w:val="24"/>
        </w:rPr>
      </w:pPr>
      <w:r>
        <w:rPr>
          <w:rFonts w:ascii="Verdana" w:hAnsi="Verdana"/>
          <w:sz w:val="24"/>
          <w:szCs w:val="24"/>
        </w:rPr>
        <w:t>Emily Eisenman, Representative to GCPD</w:t>
      </w:r>
    </w:p>
    <w:p w14:paraId="01924175" w14:textId="370B2866" w:rsidR="00FA1AA1" w:rsidRDefault="00FA1AA1" w:rsidP="000B7AF5">
      <w:pPr>
        <w:spacing w:after="240" w:line="240" w:lineRule="auto"/>
        <w:contextualSpacing/>
        <w:jc w:val="center"/>
        <w:rPr>
          <w:rFonts w:ascii="Verdana" w:hAnsi="Verdana"/>
          <w:sz w:val="24"/>
          <w:szCs w:val="24"/>
        </w:rPr>
      </w:pPr>
      <w:r>
        <w:rPr>
          <w:rFonts w:ascii="Verdana" w:hAnsi="Verdana"/>
          <w:sz w:val="24"/>
          <w:szCs w:val="24"/>
        </w:rPr>
        <w:t>Deputy Division Director</w:t>
      </w:r>
    </w:p>
    <w:p w14:paraId="216C6DFD" w14:textId="40FE8B0D" w:rsidR="003143AD" w:rsidRDefault="00FA1AA1" w:rsidP="003143AD">
      <w:pPr>
        <w:spacing w:before="240" w:after="720" w:line="240" w:lineRule="auto"/>
        <w:jc w:val="center"/>
        <w:rPr>
          <w:rFonts w:ascii="Verdana" w:hAnsi="Verdana"/>
          <w:sz w:val="24"/>
          <w:szCs w:val="24"/>
        </w:rPr>
      </w:pPr>
      <w:r>
        <w:rPr>
          <w:rFonts w:ascii="Verdana" w:hAnsi="Verdana"/>
          <w:sz w:val="24"/>
          <w:szCs w:val="24"/>
        </w:rPr>
        <w:t>Rehabilitation and Reentry Division / TCOOMMI</w:t>
      </w:r>
    </w:p>
    <w:p w14:paraId="041442F5" w14:textId="77777777" w:rsidR="00FC5CC5" w:rsidRPr="00FF38C8" w:rsidRDefault="00FC5CC5" w:rsidP="00FC5CC5">
      <w:pPr>
        <w:jc w:val="center"/>
        <w:rPr>
          <w:rFonts w:ascii="Verdana" w:hAnsi="Verdana"/>
        </w:rPr>
      </w:pPr>
      <w:r w:rsidRPr="00FF38C8">
        <w:rPr>
          <w:rFonts w:ascii="Verdana" w:hAnsi="Verdana"/>
        </w:rPr>
        <w:t>P.O. Box 99</w:t>
      </w:r>
    </w:p>
    <w:p w14:paraId="185976B1" w14:textId="77777777" w:rsidR="00FC5CC5" w:rsidRPr="00FF38C8" w:rsidRDefault="00FC5CC5" w:rsidP="00FC5CC5">
      <w:pPr>
        <w:jc w:val="center"/>
        <w:rPr>
          <w:rFonts w:ascii="Verdana" w:hAnsi="Verdana"/>
        </w:rPr>
      </w:pPr>
      <w:r w:rsidRPr="00FF38C8">
        <w:rPr>
          <w:rFonts w:ascii="Verdana" w:hAnsi="Verdana"/>
        </w:rPr>
        <w:t>Huntsville, TX 77342</w:t>
      </w:r>
    </w:p>
    <w:p w14:paraId="57C455A1" w14:textId="1A8EC74D" w:rsidR="003143AD" w:rsidRDefault="008D05CB" w:rsidP="003143AD">
      <w:pPr>
        <w:spacing w:before="240"/>
        <w:jc w:val="center"/>
        <w:rPr>
          <w:rFonts w:ascii="Verdana" w:hAnsi="Verdana"/>
          <w:sz w:val="24"/>
          <w:szCs w:val="24"/>
        </w:rPr>
      </w:pPr>
      <w:hyperlink r:id="rId8" w:history="1">
        <w:r w:rsidRPr="002C6030">
          <w:rPr>
            <w:rStyle w:val="Hyperlink"/>
            <w:rFonts w:ascii="Verdana" w:hAnsi="Verdana"/>
            <w:sz w:val="24"/>
            <w:szCs w:val="24"/>
          </w:rPr>
          <w:t>https://tdcj.texas.gov/</w:t>
        </w:r>
      </w:hyperlink>
      <w:r>
        <w:rPr>
          <w:rFonts w:ascii="Verdana" w:hAnsi="Verdana"/>
          <w:sz w:val="24"/>
          <w:szCs w:val="24"/>
        </w:rPr>
        <w:t xml:space="preserve"> </w:t>
      </w:r>
    </w:p>
    <w:p w14:paraId="3E99D403" w14:textId="084E8BDD" w:rsidR="003143AD" w:rsidRDefault="00FA1AA1" w:rsidP="003143AD">
      <w:pPr>
        <w:jc w:val="center"/>
        <w:rPr>
          <w:rFonts w:ascii="Verdana" w:hAnsi="Verdana"/>
          <w:sz w:val="24"/>
          <w:szCs w:val="24"/>
        </w:rPr>
      </w:pPr>
      <w:r>
        <w:rPr>
          <w:rFonts w:ascii="Verdana" w:hAnsi="Verdana"/>
          <w:sz w:val="24"/>
          <w:szCs w:val="24"/>
        </w:rPr>
        <w:t>Bobby Lumpkin</w:t>
      </w:r>
      <w:r w:rsidR="003143AD">
        <w:rPr>
          <w:rFonts w:ascii="Verdana" w:hAnsi="Verdana"/>
          <w:sz w:val="24"/>
          <w:szCs w:val="24"/>
        </w:rPr>
        <w:t xml:space="preserve">, </w:t>
      </w:r>
      <w:r w:rsidR="008D05CB">
        <w:rPr>
          <w:rFonts w:ascii="Verdana" w:hAnsi="Verdana"/>
          <w:sz w:val="24"/>
          <w:szCs w:val="24"/>
        </w:rPr>
        <w:t xml:space="preserve">Executive Director </w:t>
      </w:r>
    </w:p>
    <w:p w14:paraId="4B455B65" w14:textId="77777777" w:rsidR="003143AD" w:rsidRDefault="003143AD" w:rsidP="003143AD">
      <w:pPr>
        <w:rPr>
          <w:rFonts w:ascii="Verdana" w:hAnsi="Verdana"/>
          <w:sz w:val="24"/>
          <w:szCs w:val="24"/>
        </w:rPr>
      </w:pPr>
    </w:p>
    <w:p w14:paraId="3ECFFEA5" w14:textId="77777777" w:rsidR="003143AD" w:rsidRDefault="003143AD">
      <w:pPr>
        <w:rPr>
          <w:rFonts w:ascii="Verdana" w:hAnsi="Verdana"/>
          <w:sz w:val="24"/>
          <w:szCs w:val="24"/>
        </w:rPr>
      </w:pPr>
      <w:r>
        <w:rPr>
          <w:rFonts w:ascii="Verdana" w:hAnsi="Verdana"/>
          <w:sz w:val="24"/>
          <w:szCs w:val="24"/>
        </w:rPr>
        <w:br w:type="page"/>
      </w:r>
    </w:p>
    <w:p w14:paraId="4C68C852" w14:textId="77777777" w:rsidR="00BD613E" w:rsidRDefault="00BD613E">
      <w:pPr>
        <w:rPr>
          <w:rFonts w:ascii="Verdana" w:hAnsi="Verdana"/>
          <w:sz w:val="24"/>
          <w:szCs w:val="24"/>
        </w:rPr>
      </w:pPr>
    </w:p>
    <w:sdt>
      <w:sdtPr>
        <w:rPr>
          <w:rFonts w:asciiTheme="minorHAnsi" w:eastAsiaTheme="minorHAnsi" w:hAnsiTheme="minorHAnsi" w:cstheme="minorBidi"/>
          <w:b w:val="0"/>
          <w:sz w:val="22"/>
          <w:szCs w:val="22"/>
        </w:rPr>
        <w:id w:val="617811551"/>
        <w:docPartObj>
          <w:docPartGallery w:val="Table of Contents"/>
          <w:docPartUnique/>
        </w:docPartObj>
      </w:sdtPr>
      <w:sdtEndPr>
        <w:rPr>
          <w:bCs/>
          <w:noProof/>
        </w:rPr>
      </w:sdtEndPr>
      <w:sdtContent>
        <w:p w14:paraId="6AD9DD75" w14:textId="77777777" w:rsidR="004F0A13" w:rsidRDefault="004F0A13">
          <w:pPr>
            <w:pStyle w:val="TOCHeading"/>
          </w:pPr>
          <w:r>
            <w:t>Table of Contents</w:t>
          </w:r>
        </w:p>
        <w:p w14:paraId="116F13D6" w14:textId="04EB95E7" w:rsidR="00E22D05" w:rsidRDefault="004F0A13">
          <w:pPr>
            <w:pStyle w:val="TOC1"/>
            <w:tabs>
              <w:tab w:val="right" w:leader="dot" w:pos="9350"/>
            </w:tabs>
            <w:rPr>
              <w:rFonts w:eastAsiaTheme="minorEastAsia"/>
              <w:noProof/>
              <w:kern w:val="2"/>
              <w:sz w:val="24"/>
              <w:szCs w:val="24"/>
              <w14:ligatures w14:val="standardContextual"/>
            </w:rPr>
          </w:pPr>
          <w:r w:rsidRPr="00F705F3">
            <w:rPr>
              <w:rFonts w:ascii="Verdana" w:hAnsi="Verdana"/>
              <w:sz w:val="24"/>
              <w:szCs w:val="24"/>
            </w:rPr>
            <w:fldChar w:fldCharType="begin"/>
          </w:r>
          <w:r w:rsidRPr="00F705F3">
            <w:rPr>
              <w:rFonts w:ascii="Verdana" w:hAnsi="Verdana"/>
              <w:sz w:val="24"/>
              <w:szCs w:val="24"/>
            </w:rPr>
            <w:instrText xml:space="preserve"> TOC \o "1-3" \h \z \u </w:instrText>
          </w:r>
          <w:r w:rsidRPr="00F705F3">
            <w:rPr>
              <w:rFonts w:ascii="Verdana" w:hAnsi="Verdana"/>
              <w:sz w:val="24"/>
              <w:szCs w:val="24"/>
            </w:rPr>
            <w:fldChar w:fldCharType="separate"/>
          </w:r>
          <w:hyperlink w:anchor="_Toc218762039" w:history="1">
            <w:r w:rsidR="00E22D05" w:rsidRPr="003D0D5B">
              <w:rPr>
                <w:rStyle w:val="Hyperlink"/>
                <w:noProof/>
              </w:rPr>
              <w:t>Executive Summary</w:t>
            </w:r>
            <w:r w:rsidR="00E22D05">
              <w:rPr>
                <w:noProof/>
                <w:webHidden/>
              </w:rPr>
              <w:tab/>
            </w:r>
            <w:r w:rsidR="00E22D05">
              <w:rPr>
                <w:noProof/>
                <w:webHidden/>
              </w:rPr>
              <w:fldChar w:fldCharType="begin"/>
            </w:r>
            <w:r w:rsidR="00E22D05">
              <w:rPr>
                <w:noProof/>
                <w:webHidden/>
              </w:rPr>
              <w:instrText xml:space="preserve"> PAGEREF _Toc218762039 \h </w:instrText>
            </w:r>
            <w:r w:rsidR="00E22D05">
              <w:rPr>
                <w:noProof/>
                <w:webHidden/>
              </w:rPr>
            </w:r>
            <w:r w:rsidR="00E22D05">
              <w:rPr>
                <w:noProof/>
                <w:webHidden/>
              </w:rPr>
              <w:fldChar w:fldCharType="separate"/>
            </w:r>
            <w:r w:rsidR="00E22D05">
              <w:rPr>
                <w:noProof/>
                <w:webHidden/>
              </w:rPr>
              <w:t>3</w:t>
            </w:r>
            <w:r w:rsidR="00E22D05">
              <w:rPr>
                <w:noProof/>
                <w:webHidden/>
              </w:rPr>
              <w:fldChar w:fldCharType="end"/>
            </w:r>
          </w:hyperlink>
        </w:p>
        <w:p w14:paraId="6D58B176" w14:textId="3500C0F9" w:rsidR="00E22D05" w:rsidRDefault="00E22D05">
          <w:pPr>
            <w:pStyle w:val="TOC1"/>
            <w:tabs>
              <w:tab w:val="right" w:leader="dot" w:pos="9350"/>
            </w:tabs>
            <w:rPr>
              <w:rFonts w:eastAsiaTheme="minorEastAsia"/>
              <w:noProof/>
              <w:kern w:val="2"/>
              <w:sz w:val="24"/>
              <w:szCs w:val="24"/>
              <w14:ligatures w14:val="standardContextual"/>
            </w:rPr>
          </w:pPr>
          <w:hyperlink w:anchor="_Toc218762040" w:history="1">
            <w:r w:rsidRPr="003D0D5B">
              <w:rPr>
                <w:rStyle w:val="Hyperlink"/>
                <w:noProof/>
              </w:rPr>
              <w:t>Follow up responses to previous GCPD meeting</w:t>
            </w:r>
            <w:r>
              <w:rPr>
                <w:noProof/>
                <w:webHidden/>
              </w:rPr>
              <w:tab/>
            </w:r>
            <w:r>
              <w:rPr>
                <w:noProof/>
                <w:webHidden/>
              </w:rPr>
              <w:fldChar w:fldCharType="begin"/>
            </w:r>
            <w:r>
              <w:rPr>
                <w:noProof/>
                <w:webHidden/>
              </w:rPr>
              <w:instrText xml:space="preserve"> PAGEREF _Toc218762040 \h </w:instrText>
            </w:r>
            <w:r>
              <w:rPr>
                <w:noProof/>
                <w:webHidden/>
              </w:rPr>
            </w:r>
            <w:r>
              <w:rPr>
                <w:noProof/>
                <w:webHidden/>
              </w:rPr>
              <w:fldChar w:fldCharType="separate"/>
            </w:r>
            <w:r>
              <w:rPr>
                <w:noProof/>
                <w:webHidden/>
              </w:rPr>
              <w:t>3</w:t>
            </w:r>
            <w:r>
              <w:rPr>
                <w:noProof/>
                <w:webHidden/>
              </w:rPr>
              <w:fldChar w:fldCharType="end"/>
            </w:r>
          </w:hyperlink>
        </w:p>
        <w:p w14:paraId="7E9CF476" w14:textId="59D5D7ED" w:rsidR="00E22D05" w:rsidRDefault="00E22D05">
          <w:pPr>
            <w:pStyle w:val="TOC1"/>
            <w:tabs>
              <w:tab w:val="right" w:leader="dot" w:pos="9350"/>
            </w:tabs>
            <w:rPr>
              <w:rFonts w:eastAsiaTheme="minorEastAsia"/>
              <w:noProof/>
              <w:kern w:val="2"/>
              <w:sz w:val="24"/>
              <w:szCs w:val="24"/>
              <w14:ligatures w14:val="standardContextual"/>
            </w:rPr>
          </w:pPr>
          <w:hyperlink w:anchor="_Toc218762041" w:history="1">
            <w:r w:rsidRPr="003D0D5B">
              <w:rPr>
                <w:rStyle w:val="Hyperlink"/>
                <w:noProof/>
              </w:rPr>
              <w:t>Performance Measures</w:t>
            </w:r>
            <w:r>
              <w:rPr>
                <w:noProof/>
                <w:webHidden/>
              </w:rPr>
              <w:tab/>
            </w:r>
            <w:r>
              <w:rPr>
                <w:noProof/>
                <w:webHidden/>
              </w:rPr>
              <w:fldChar w:fldCharType="begin"/>
            </w:r>
            <w:r>
              <w:rPr>
                <w:noProof/>
                <w:webHidden/>
              </w:rPr>
              <w:instrText xml:space="preserve"> PAGEREF _Toc218762041 \h </w:instrText>
            </w:r>
            <w:r>
              <w:rPr>
                <w:noProof/>
                <w:webHidden/>
              </w:rPr>
            </w:r>
            <w:r>
              <w:rPr>
                <w:noProof/>
                <w:webHidden/>
              </w:rPr>
              <w:fldChar w:fldCharType="separate"/>
            </w:r>
            <w:r>
              <w:rPr>
                <w:noProof/>
                <w:webHidden/>
              </w:rPr>
              <w:t>4</w:t>
            </w:r>
            <w:r>
              <w:rPr>
                <w:noProof/>
                <w:webHidden/>
              </w:rPr>
              <w:fldChar w:fldCharType="end"/>
            </w:r>
          </w:hyperlink>
        </w:p>
        <w:p w14:paraId="665B4D5F" w14:textId="7E397DF0" w:rsidR="00E22D05" w:rsidRDefault="00E22D05">
          <w:pPr>
            <w:pStyle w:val="TOC1"/>
            <w:tabs>
              <w:tab w:val="right" w:leader="dot" w:pos="9350"/>
            </w:tabs>
            <w:rPr>
              <w:rFonts w:eastAsiaTheme="minorEastAsia"/>
              <w:noProof/>
              <w:kern w:val="2"/>
              <w:sz w:val="24"/>
              <w:szCs w:val="24"/>
              <w14:ligatures w14:val="standardContextual"/>
            </w:rPr>
          </w:pPr>
          <w:hyperlink w:anchor="_Toc218762042" w:history="1">
            <w:r w:rsidRPr="003D0D5B">
              <w:rPr>
                <w:rStyle w:val="Hyperlink"/>
                <w:noProof/>
              </w:rPr>
              <w:t>Substantial agency policy changes and key personnel or organizational changes</w:t>
            </w:r>
            <w:r>
              <w:rPr>
                <w:noProof/>
                <w:webHidden/>
              </w:rPr>
              <w:tab/>
            </w:r>
            <w:r>
              <w:rPr>
                <w:noProof/>
                <w:webHidden/>
              </w:rPr>
              <w:fldChar w:fldCharType="begin"/>
            </w:r>
            <w:r>
              <w:rPr>
                <w:noProof/>
                <w:webHidden/>
              </w:rPr>
              <w:instrText xml:space="preserve"> PAGEREF _Toc218762042 \h </w:instrText>
            </w:r>
            <w:r>
              <w:rPr>
                <w:noProof/>
                <w:webHidden/>
              </w:rPr>
            </w:r>
            <w:r>
              <w:rPr>
                <w:noProof/>
                <w:webHidden/>
              </w:rPr>
              <w:fldChar w:fldCharType="separate"/>
            </w:r>
            <w:r>
              <w:rPr>
                <w:noProof/>
                <w:webHidden/>
              </w:rPr>
              <w:t>5</w:t>
            </w:r>
            <w:r>
              <w:rPr>
                <w:noProof/>
                <w:webHidden/>
              </w:rPr>
              <w:fldChar w:fldCharType="end"/>
            </w:r>
          </w:hyperlink>
        </w:p>
        <w:p w14:paraId="57B4351D" w14:textId="0FE4AF1D" w:rsidR="00E22D05" w:rsidRDefault="00E22D05">
          <w:pPr>
            <w:pStyle w:val="TOC1"/>
            <w:tabs>
              <w:tab w:val="right" w:leader="dot" w:pos="9350"/>
            </w:tabs>
            <w:rPr>
              <w:rFonts w:eastAsiaTheme="minorEastAsia"/>
              <w:noProof/>
              <w:kern w:val="2"/>
              <w:sz w:val="24"/>
              <w:szCs w:val="24"/>
              <w14:ligatures w14:val="standardContextual"/>
            </w:rPr>
          </w:pPr>
          <w:hyperlink w:anchor="_Toc218762043" w:history="1">
            <w:r w:rsidRPr="003D0D5B">
              <w:rPr>
                <w:rStyle w:val="Hyperlink"/>
                <w:noProof/>
              </w:rPr>
              <w:t>New disability- or accessibility-related program initiatives</w:t>
            </w:r>
            <w:r>
              <w:rPr>
                <w:noProof/>
                <w:webHidden/>
              </w:rPr>
              <w:tab/>
            </w:r>
            <w:r>
              <w:rPr>
                <w:noProof/>
                <w:webHidden/>
              </w:rPr>
              <w:fldChar w:fldCharType="begin"/>
            </w:r>
            <w:r>
              <w:rPr>
                <w:noProof/>
                <w:webHidden/>
              </w:rPr>
              <w:instrText xml:space="preserve"> PAGEREF _Toc218762043 \h </w:instrText>
            </w:r>
            <w:r>
              <w:rPr>
                <w:noProof/>
                <w:webHidden/>
              </w:rPr>
            </w:r>
            <w:r>
              <w:rPr>
                <w:noProof/>
                <w:webHidden/>
              </w:rPr>
              <w:fldChar w:fldCharType="separate"/>
            </w:r>
            <w:r>
              <w:rPr>
                <w:noProof/>
                <w:webHidden/>
              </w:rPr>
              <w:t>5</w:t>
            </w:r>
            <w:r>
              <w:rPr>
                <w:noProof/>
                <w:webHidden/>
              </w:rPr>
              <w:fldChar w:fldCharType="end"/>
            </w:r>
          </w:hyperlink>
        </w:p>
        <w:p w14:paraId="37668030" w14:textId="58F505B1" w:rsidR="00E22D05" w:rsidRDefault="00E22D05">
          <w:pPr>
            <w:pStyle w:val="TOC1"/>
            <w:tabs>
              <w:tab w:val="right" w:leader="dot" w:pos="9350"/>
            </w:tabs>
            <w:rPr>
              <w:rFonts w:eastAsiaTheme="minorEastAsia"/>
              <w:noProof/>
              <w:kern w:val="2"/>
              <w:sz w:val="24"/>
              <w:szCs w:val="24"/>
              <w14:ligatures w14:val="standardContextual"/>
            </w:rPr>
          </w:pPr>
          <w:hyperlink w:anchor="_Toc218762044" w:history="1">
            <w:r w:rsidRPr="003D0D5B">
              <w:rPr>
                <w:rStyle w:val="Hyperlink"/>
                <w:noProof/>
              </w:rPr>
              <w:t>Significant interagency initiatives relating to disability programs</w:t>
            </w:r>
            <w:r>
              <w:rPr>
                <w:noProof/>
                <w:webHidden/>
              </w:rPr>
              <w:tab/>
            </w:r>
            <w:r>
              <w:rPr>
                <w:noProof/>
                <w:webHidden/>
              </w:rPr>
              <w:fldChar w:fldCharType="begin"/>
            </w:r>
            <w:r>
              <w:rPr>
                <w:noProof/>
                <w:webHidden/>
              </w:rPr>
              <w:instrText xml:space="preserve"> PAGEREF _Toc218762044 \h </w:instrText>
            </w:r>
            <w:r>
              <w:rPr>
                <w:noProof/>
                <w:webHidden/>
              </w:rPr>
            </w:r>
            <w:r>
              <w:rPr>
                <w:noProof/>
                <w:webHidden/>
              </w:rPr>
              <w:fldChar w:fldCharType="separate"/>
            </w:r>
            <w:r>
              <w:rPr>
                <w:noProof/>
                <w:webHidden/>
              </w:rPr>
              <w:t>5</w:t>
            </w:r>
            <w:r>
              <w:rPr>
                <w:noProof/>
                <w:webHidden/>
              </w:rPr>
              <w:fldChar w:fldCharType="end"/>
            </w:r>
          </w:hyperlink>
        </w:p>
        <w:p w14:paraId="7250856E" w14:textId="4A3EB1E7" w:rsidR="00E22D05" w:rsidRDefault="00E22D05">
          <w:pPr>
            <w:pStyle w:val="TOC1"/>
            <w:tabs>
              <w:tab w:val="right" w:leader="dot" w:pos="9350"/>
            </w:tabs>
            <w:rPr>
              <w:rFonts w:eastAsiaTheme="minorEastAsia"/>
              <w:noProof/>
              <w:kern w:val="2"/>
              <w:sz w:val="24"/>
              <w:szCs w:val="24"/>
              <w14:ligatures w14:val="standardContextual"/>
            </w:rPr>
          </w:pPr>
          <w:hyperlink w:anchor="_Toc218762045" w:history="1">
            <w:r w:rsidRPr="003D0D5B">
              <w:rPr>
                <w:rStyle w:val="Hyperlink"/>
                <w:noProof/>
              </w:rPr>
              <w:t>Calendar</w:t>
            </w:r>
            <w:r>
              <w:rPr>
                <w:noProof/>
                <w:webHidden/>
              </w:rPr>
              <w:tab/>
            </w:r>
            <w:r>
              <w:rPr>
                <w:noProof/>
                <w:webHidden/>
              </w:rPr>
              <w:fldChar w:fldCharType="begin"/>
            </w:r>
            <w:r>
              <w:rPr>
                <w:noProof/>
                <w:webHidden/>
              </w:rPr>
              <w:instrText xml:space="preserve"> PAGEREF _Toc218762045 \h </w:instrText>
            </w:r>
            <w:r>
              <w:rPr>
                <w:noProof/>
                <w:webHidden/>
              </w:rPr>
            </w:r>
            <w:r>
              <w:rPr>
                <w:noProof/>
                <w:webHidden/>
              </w:rPr>
              <w:fldChar w:fldCharType="separate"/>
            </w:r>
            <w:r>
              <w:rPr>
                <w:noProof/>
                <w:webHidden/>
              </w:rPr>
              <w:t>5</w:t>
            </w:r>
            <w:r>
              <w:rPr>
                <w:noProof/>
                <w:webHidden/>
              </w:rPr>
              <w:fldChar w:fldCharType="end"/>
            </w:r>
          </w:hyperlink>
        </w:p>
        <w:p w14:paraId="161BBE8E" w14:textId="2AE98D49" w:rsidR="00E22D05" w:rsidRDefault="00E22D05">
          <w:pPr>
            <w:pStyle w:val="TOC1"/>
            <w:tabs>
              <w:tab w:val="right" w:leader="dot" w:pos="9350"/>
            </w:tabs>
            <w:rPr>
              <w:rFonts w:eastAsiaTheme="minorEastAsia"/>
              <w:noProof/>
              <w:kern w:val="2"/>
              <w:sz w:val="24"/>
              <w:szCs w:val="24"/>
              <w14:ligatures w14:val="standardContextual"/>
            </w:rPr>
          </w:pPr>
          <w:hyperlink w:anchor="_Toc218762046" w:history="1">
            <w:r w:rsidRPr="003D0D5B">
              <w:rPr>
                <w:rStyle w:val="Hyperlink"/>
                <w:noProof/>
              </w:rPr>
              <w:t>Long-range strategic plans for people with disabilities</w:t>
            </w:r>
            <w:r>
              <w:rPr>
                <w:noProof/>
                <w:webHidden/>
              </w:rPr>
              <w:tab/>
            </w:r>
            <w:r>
              <w:rPr>
                <w:noProof/>
                <w:webHidden/>
              </w:rPr>
              <w:fldChar w:fldCharType="begin"/>
            </w:r>
            <w:r>
              <w:rPr>
                <w:noProof/>
                <w:webHidden/>
              </w:rPr>
              <w:instrText xml:space="preserve"> PAGEREF _Toc218762046 \h </w:instrText>
            </w:r>
            <w:r>
              <w:rPr>
                <w:noProof/>
                <w:webHidden/>
              </w:rPr>
            </w:r>
            <w:r>
              <w:rPr>
                <w:noProof/>
                <w:webHidden/>
              </w:rPr>
              <w:fldChar w:fldCharType="separate"/>
            </w:r>
            <w:r>
              <w:rPr>
                <w:noProof/>
                <w:webHidden/>
              </w:rPr>
              <w:t>5</w:t>
            </w:r>
            <w:r>
              <w:rPr>
                <w:noProof/>
                <w:webHidden/>
              </w:rPr>
              <w:fldChar w:fldCharType="end"/>
            </w:r>
          </w:hyperlink>
        </w:p>
        <w:p w14:paraId="416A0F26" w14:textId="4BFFF46C" w:rsidR="00E22D05" w:rsidRDefault="00E22D05">
          <w:pPr>
            <w:pStyle w:val="TOC1"/>
            <w:tabs>
              <w:tab w:val="right" w:leader="dot" w:pos="9350"/>
            </w:tabs>
            <w:rPr>
              <w:rFonts w:eastAsiaTheme="minorEastAsia"/>
              <w:noProof/>
              <w:kern w:val="2"/>
              <w:sz w:val="24"/>
              <w:szCs w:val="24"/>
              <w14:ligatures w14:val="standardContextual"/>
            </w:rPr>
          </w:pPr>
          <w:hyperlink w:anchor="_Toc218762047" w:history="1">
            <w:r w:rsidRPr="003D0D5B">
              <w:rPr>
                <w:rStyle w:val="Hyperlink"/>
                <w:noProof/>
              </w:rPr>
              <w:t>Disability Program Updates</w:t>
            </w:r>
            <w:r>
              <w:rPr>
                <w:noProof/>
                <w:webHidden/>
              </w:rPr>
              <w:tab/>
            </w:r>
            <w:r>
              <w:rPr>
                <w:noProof/>
                <w:webHidden/>
              </w:rPr>
              <w:fldChar w:fldCharType="begin"/>
            </w:r>
            <w:r>
              <w:rPr>
                <w:noProof/>
                <w:webHidden/>
              </w:rPr>
              <w:instrText xml:space="preserve"> PAGEREF _Toc218762047 \h </w:instrText>
            </w:r>
            <w:r>
              <w:rPr>
                <w:noProof/>
                <w:webHidden/>
              </w:rPr>
            </w:r>
            <w:r>
              <w:rPr>
                <w:noProof/>
                <w:webHidden/>
              </w:rPr>
              <w:fldChar w:fldCharType="separate"/>
            </w:r>
            <w:r>
              <w:rPr>
                <w:noProof/>
                <w:webHidden/>
              </w:rPr>
              <w:t>6</w:t>
            </w:r>
            <w:r>
              <w:rPr>
                <w:noProof/>
                <w:webHidden/>
              </w:rPr>
              <w:fldChar w:fldCharType="end"/>
            </w:r>
          </w:hyperlink>
        </w:p>
        <w:p w14:paraId="1CD3FC2C" w14:textId="729988BF" w:rsidR="00E22D05" w:rsidRDefault="00E22D05">
          <w:pPr>
            <w:pStyle w:val="TOC2"/>
            <w:tabs>
              <w:tab w:val="left" w:pos="720"/>
              <w:tab w:val="right" w:leader="dot" w:pos="9350"/>
            </w:tabs>
            <w:rPr>
              <w:rFonts w:eastAsiaTheme="minorEastAsia"/>
              <w:noProof/>
              <w:kern w:val="2"/>
              <w:sz w:val="24"/>
              <w:szCs w:val="24"/>
              <w14:ligatures w14:val="standardContextual"/>
            </w:rPr>
          </w:pPr>
          <w:hyperlink w:anchor="_Toc218762048" w:history="1">
            <w:r w:rsidRPr="003D0D5B">
              <w:rPr>
                <w:rStyle w:val="Hyperlink"/>
                <w:noProof/>
              </w:rPr>
              <w:t>A)</w:t>
            </w:r>
            <w:r>
              <w:rPr>
                <w:rFonts w:eastAsiaTheme="minorEastAsia"/>
                <w:noProof/>
                <w:kern w:val="2"/>
                <w:sz w:val="24"/>
                <w:szCs w:val="24"/>
                <w14:ligatures w14:val="standardContextual"/>
              </w:rPr>
              <w:tab/>
            </w:r>
            <w:r w:rsidRPr="003D0D5B">
              <w:rPr>
                <w:rStyle w:val="Hyperlink"/>
                <w:noProof/>
              </w:rPr>
              <w:t>The Windham School</w:t>
            </w:r>
            <w:r>
              <w:rPr>
                <w:noProof/>
                <w:webHidden/>
              </w:rPr>
              <w:tab/>
            </w:r>
            <w:r>
              <w:rPr>
                <w:noProof/>
                <w:webHidden/>
              </w:rPr>
              <w:fldChar w:fldCharType="begin"/>
            </w:r>
            <w:r>
              <w:rPr>
                <w:noProof/>
                <w:webHidden/>
              </w:rPr>
              <w:instrText xml:space="preserve"> PAGEREF _Toc218762048 \h </w:instrText>
            </w:r>
            <w:r>
              <w:rPr>
                <w:noProof/>
                <w:webHidden/>
              </w:rPr>
            </w:r>
            <w:r>
              <w:rPr>
                <w:noProof/>
                <w:webHidden/>
              </w:rPr>
              <w:fldChar w:fldCharType="separate"/>
            </w:r>
            <w:r>
              <w:rPr>
                <w:noProof/>
                <w:webHidden/>
              </w:rPr>
              <w:t>6</w:t>
            </w:r>
            <w:r>
              <w:rPr>
                <w:noProof/>
                <w:webHidden/>
              </w:rPr>
              <w:fldChar w:fldCharType="end"/>
            </w:r>
          </w:hyperlink>
        </w:p>
        <w:p w14:paraId="0B7DF5E2" w14:textId="6EB3ECEF" w:rsidR="00E22D05" w:rsidRDefault="00E22D05">
          <w:pPr>
            <w:pStyle w:val="TOC2"/>
            <w:tabs>
              <w:tab w:val="left" w:pos="720"/>
              <w:tab w:val="right" w:leader="dot" w:pos="9350"/>
            </w:tabs>
            <w:rPr>
              <w:rFonts w:eastAsiaTheme="minorEastAsia"/>
              <w:noProof/>
              <w:kern w:val="2"/>
              <w:sz w:val="24"/>
              <w:szCs w:val="24"/>
              <w14:ligatures w14:val="standardContextual"/>
            </w:rPr>
          </w:pPr>
          <w:hyperlink w:anchor="_Toc218762049" w:history="1">
            <w:r w:rsidRPr="003D0D5B">
              <w:rPr>
                <w:rStyle w:val="Hyperlink"/>
                <w:noProof/>
              </w:rPr>
              <w:t>B)</w:t>
            </w:r>
            <w:r>
              <w:rPr>
                <w:rFonts w:eastAsiaTheme="minorEastAsia"/>
                <w:noProof/>
                <w:kern w:val="2"/>
                <w:sz w:val="24"/>
                <w:szCs w:val="24"/>
                <w14:ligatures w14:val="standardContextual"/>
              </w:rPr>
              <w:tab/>
            </w:r>
            <w:r w:rsidRPr="003D0D5B">
              <w:rPr>
                <w:rStyle w:val="Hyperlink"/>
                <w:noProof/>
              </w:rPr>
              <w:t>Reentry Programs for People with Disabilities</w:t>
            </w:r>
            <w:r>
              <w:rPr>
                <w:noProof/>
                <w:webHidden/>
              </w:rPr>
              <w:tab/>
            </w:r>
            <w:r>
              <w:rPr>
                <w:noProof/>
                <w:webHidden/>
              </w:rPr>
              <w:fldChar w:fldCharType="begin"/>
            </w:r>
            <w:r>
              <w:rPr>
                <w:noProof/>
                <w:webHidden/>
              </w:rPr>
              <w:instrText xml:space="preserve"> PAGEREF _Toc218762049 \h </w:instrText>
            </w:r>
            <w:r>
              <w:rPr>
                <w:noProof/>
                <w:webHidden/>
              </w:rPr>
            </w:r>
            <w:r>
              <w:rPr>
                <w:noProof/>
                <w:webHidden/>
              </w:rPr>
              <w:fldChar w:fldCharType="separate"/>
            </w:r>
            <w:r>
              <w:rPr>
                <w:noProof/>
                <w:webHidden/>
              </w:rPr>
              <w:t>6</w:t>
            </w:r>
            <w:r>
              <w:rPr>
                <w:noProof/>
                <w:webHidden/>
              </w:rPr>
              <w:fldChar w:fldCharType="end"/>
            </w:r>
          </w:hyperlink>
        </w:p>
        <w:p w14:paraId="7A4EA708" w14:textId="0C5C193B" w:rsidR="00E22D05" w:rsidRDefault="00E22D05">
          <w:pPr>
            <w:pStyle w:val="TOC2"/>
            <w:tabs>
              <w:tab w:val="left" w:pos="720"/>
              <w:tab w:val="right" w:leader="dot" w:pos="9350"/>
            </w:tabs>
            <w:rPr>
              <w:rFonts w:eastAsiaTheme="minorEastAsia"/>
              <w:noProof/>
              <w:kern w:val="2"/>
              <w:sz w:val="24"/>
              <w:szCs w:val="24"/>
              <w14:ligatures w14:val="standardContextual"/>
            </w:rPr>
          </w:pPr>
          <w:hyperlink w:anchor="_Toc218762050" w:history="1">
            <w:r w:rsidRPr="003D0D5B">
              <w:rPr>
                <w:rStyle w:val="Hyperlink"/>
                <w:noProof/>
              </w:rPr>
              <w:t>C)</w:t>
            </w:r>
            <w:r>
              <w:rPr>
                <w:rFonts w:eastAsiaTheme="minorEastAsia"/>
                <w:noProof/>
                <w:kern w:val="2"/>
                <w:sz w:val="24"/>
                <w:szCs w:val="24"/>
                <w14:ligatures w14:val="standardContextual"/>
              </w:rPr>
              <w:tab/>
            </w:r>
            <w:r w:rsidRPr="003D0D5B">
              <w:rPr>
                <w:rStyle w:val="Hyperlink"/>
                <w:noProof/>
              </w:rPr>
              <w:t>Health Services Division</w:t>
            </w:r>
            <w:r>
              <w:rPr>
                <w:noProof/>
                <w:webHidden/>
              </w:rPr>
              <w:tab/>
            </w:r>
            <w:r>
              <w:rPr>
                <w:noProof/>
                <w:webHidden/>
              </w:rPr>
              <w:fldChar w:fldCharType="begin"/>
            </w:r>
            <w:r>
              <w:rPr>
                <w:noProof/>
                <w:webHidden/>
              </w:rPr>
              <w:instrText xml:space="preserve"> PAGEREF _Toc218762050 \h </w:instrText>
            </w:r>
            <w:r>
              <w:rPr>
                <w:noProof/>
                <w:webHidden/>
              </w:rPr>
            </w:r>
            <w:r>
              <w:rPr>
                <w:noProof/>
                <w:webHidden/>
              </w:rPr>
              <w:fldChar w:fldCharType="separate"/>
            </w:r>
            <w:r>
              <w:rPr>
                <w:noProof/>
                <w:webHidden/>
              </w:rPr>
              <w:t>7</w:t>
            </w:r>
            <w:r>
              <w:rPr>
                <w:noProof/>
                <w:webHidden/>
              </w:rPr>
              <w:fldChar w:fldCharType="end"/>
            </w:r>
          </w:hyperlink>
        </w:p>
        <w:p w14:paraId="366AC622" w14:textId="7FA50F68" w:rsidR="00E22D05" w:rsidRDefault="00E22D05">
          <w:pPr>
            <w:pStyle w:val="TOC1"/>
            <w:tabs>
              <w:tab w:val="right" w:leader="dot" w:pos="9350"/>
            </w:tabs>
            <w:rPr>
              <w:rFonts w:eastAsiaTheme="minorEastAsia"/>
              <w:noProof/>
              <w:kern w:val="2"/>
              <w:sz w:val="24"/>
              <w:szCs w:val="24"/>
              <w14:ligatures w14:val="standardContextual"/>
            </w:rPr>
          </w:pPr>
          <w:hyperlink w:anchor="_Toc218762051" w:history="1">
            <w:r w:rsidRPr="003D0D5B">
              <w:rPr>
                <w:rStyle w:val="Hyperlink"/>
                <w:noProof/>
              </w:rPr>
              <w:t>Additional Information</w:t>
            </w:r>
            <w:r>
              <w:rPr>
                <w:noProof/>
                <w:webHidden/>
              </w:rPr>
              <w:tab/>
            </w:r>
            <w:r>
              <w:rPr>
                <w:noProof/>
                <w:webHidden/>
              </w:rPr>
              <w:fldChar w:fldCharType="begin"/>
            </w:r>
            <w:r>
              <w:rPr>
                <w:noProof/>
                <w:webHidden/>
              </w:rPr>
              <w:instrText xml:space="preserve"> PAGEREF _Toc218762051 \h </w:instrText>
            </w:r>
            <w:r>
              <w:rPr>
                <w:noProof/>
                <w:webHidden/>
              </w:rPr>
            </w:r>
            <w:r>
              <w:rPr>
                <w:noProof/>
                <w:webHidden/>
              </w:rPr>
              <w:fldChar w:fldCharType="separate"/>
            </w:r>
            <w:r>
              <w:rPr>
                <w:noProof/>
                <w:webHidden/>
              </w:rPr>
              <w:t>7</w:t>
            </w:r>
            <w:r>
              <w:rPr>
                <w:noProof/>
                <w:webHidden/>
              </w:rPr>
              <w:fldChar w:fldCharType="end"/>
            </w:r>
          </w:hyperlink>
        </w:p>
        <w:p w14:paraId="6AA329FC" w14:textId="393FD34E" w:rsidR="004F0A13" w:rsidRDefault="004F0A13">
          <w:r w:rsidRPr="00F705F3">
            <w:rPr>
              <w:rFonts w:ascii="Verdana" w:hAnsi="Verdana"/>
              <w:b/>
              <w:bCs/>
              <w:noProof/>
              <w:sz w:val="24"/>
              <w:szCs w:val="24"/>
            </w:rPr>
            <w:fldChar w:fldCharType="end"/>
          </w:r>
        </w:p>
      </w:sdtContent>
    </w:sdt>
    <w:p w14:paraId="108E9100" w14:textId="77777777" w:rsidR="00BD613E" w:rsidRDefault="00BD613E" w:rsidP="00BD613E">
      <w:r>
        <w:br w:type="page"/>
      </w:r>
    </w:p>
    <w:p w14:paraId="485D686B" w14:textId="77777777" w:rsidR="00BD613E" w:rsidRDefault="00BD613E" w:rsidP="00A058AA">
      <w:pPr>
        <w:pStyle w:val="Heading1"/>
      </w:pPr>
      <w:bookmarkStart w:id="0" w:name="_Toc218762039"/>
      <w:r>
        <w:lastRenderedPageBreak/>
        <w:t>Executive Summary</w:t>
      </w:r>
      <w:bookmarkEnd w:id="0"/>
    </w:p>
    <w:p w14:paraId="472BBD66" w14:textId="77777777" w:rsidR="00760B6A" w:rsidRPr="00B25EEF" w:rsidRDefault="00760B6A" w:rsidP="00760B6A">
      <w:pPr>
        <w:spacing w:after="0"/>
        <w:jc w:val="both"/>
        <w:rPr>
          <w:rFonts w:ascii="Verdana" w:hAnsi="Verdana"/>
          <w:iCs/>
          <w:sz w:val="24"/>
          <w:szCs w:val="24"/>
        </w:rPr>
      </w:pPr>
      <w:r w:rsidRPr="00B25EEF">
        <w:rPr>
          <w:rFonts w:ascii="Verdana" w:hAnsi="Verdana"/>
          <w:iCs/>
          <w:sz w:val="24"/>
          <w:szCs w:val="24"/>
        </w:rPr>
        <w:t xml:space="preserve">The primary responsibilities of the Texas Department of Criminal Justice </w:t>
      </w:r>
      <w:r>
        <w:rPr>
          <w:rFonts w:ascii="Verdana" w:hAnsi="Verdana"/>
          <w:iCs/>
          <w:sz w:val="24"/>
          <w:szCs w:val="24"/>
        </w:rPr>
        <w:t xml:space="preserve">(TDCJ) </w:t>
      </w:r>
      <w:r w:rsidRPr="00B25EEF">
        <w:rPr>
          <w:rFonts w:ascii="Verdana" w:hAnsi="Verdana"/>
          <w:iCs/>
          <w:sz w:val="24"/>
          <w:szCs w:val="24"/>
        </w:rPr>
        <w:t>include operation of the state adult prison system, adult parole supervision system, and oversight and funding of the adult probation system.</w:t>
      </w:r>
    </w:p>
    <w:p w14:paraId="740DDDCC" w14:textId="77777777" w:rsidR="00760B6A" w:rsidRPr="00B25EEF" w:rsidRDefault="00760B6A" w:rsidP="00760B6A">
      <w:pPr>
        <w:jc w:val="both"/>
        <w:rPr>
          <w:rFonts w:ascii="Verdana" w:hAnsi="Verdana"/>
          <w:iCs/>
          <w:sz w:val="24"/>
          <w:szCs w:val="24"/>
        </w:rPr>
      </w:pPr>
    </w:p>
    <w:p w14:paraId="5302E2F4" w14:textId="77777777" w:rsidR="00760B6A" w:rsidRDefault="00760B6A" w:rsidP="00760B6A">
      <w:pPr>
        <w:pStyle w:val="ListParagraph"/>
        <w:numPr>
          <w:ilvl w:val="0"/>
          <w:numId w:val="21"/>
        </w:numPr>
        <w:tabs>
          <w:tab w:val="left" w:pos="450"/>
        </w:tabs>
        <w:ind w:left="450" w:hanging="450"/>
        <w:jc w:val="both"/>
        <w:rPr>
          <w:rFonts w:ascii="Verdana" w:hAnsi="Verdana"/>
          <w:sz w:val="24"/>
          <w:szCs w:val="24"/>
        </w:rPr>
      </w:pPr>
      <w:r w:rsidRPr="00B12401">
        <w:rPr>
          <w:rFonts w:ascii="Verdana" w:hAnsi="Verdana"/>
          <w:sz w:val="24"/>
          <w:szCs w:val="24"/>
        </w:rPr>
        <w:t>Inmates with Disabilities in the County Jails, who have been sentenced to serve time in the TDCJ, must be received appropriately by the TDCJ to ensure there is no lapse in medical care or treatment services provided.</w:t>
      </w:r>
    </w:p>
    <w:p w14:paraId="30C9909F" w14:textId="77777777" w:rsidR="00760B6A" w:rsidRPr="00EE4A31" w:rsidRDefault="00760B6A" w:rsidP="00760B6A">
      <w:pPr>
        <w:pStyle w:val="ListParagraph"/>
        <w:tabs>
          <w:tab w:val="left" w:pos="450"/>
        </w:tabs>
        <w:ind w:left="450"/>
        <w:jc w:val="both"/>
        <w:rPr>
          <w:rFonts w:ascii="Verdana" w:hAnsi="Verdana"/>
          <w:sz w:val="24"/>
          <w:szCs w:val="24"/>
        </w:rPr>
      </w:pPr>
    </w:p>
    <w:p w14:paraId="3FBDDF68" w14:textId="77777777" w:rsidR="00760B6A" w:rsidRDefault="00760B6A" w:rsidP="00760B6A">
      <w:pPr>
        <w:pStyle w:val="ListParagraph"/>
        <w:numPr>
          <w:ilvl w:val="0"/>
          <w:numId w:val="21"/>
        </w:numPr>
        <w:tabs>
          <w:tab w:val="left" w:pos="450"/>
        </w:tabs>
        <w:ind w:left="450" w:hanging="450"/>
        <w:jc w:val="both"/>
        <w:rPr>
          <w:rFonts w:ascii="Verdana" w:hAnsi="Verdana"/>
          <w:sz w:val="24"/>
          <w:szCs w:val="24"/>
        </w:rPr>
      </w:pPr>
      <w:r>
        <w:rPr>
          <w:rFonts w:ascii="Verdana" w:hAnsi="Verdana"/>
          <w:sz w:val="24"/>
          <w:szCs w:val="24"/>
        </w:rPr>
        <w:t xml:space="preserve">The agency’s </w:t>
      </w:r>
      <w:r w:rsidRPr="00B12401">
        <w:rPr>
          <w:rFonts w:ascii="Verdana" w:hAnsi="Verdana"/>
          <w:sz w:val="24"/>
          <w:szCs w:val="24"/>
        </w:rPr>
        <w:t>Health Services and Admissions Department</w:t>
      </w:r>
      <w:r>
        <w:rPr>
          <w:rFonts w:ascii="Verdana" w:hAnsi="Verdana"/>
          <w:sz w:val="24"/>
          <w:szCs w:val="24"/>
        </w:rPr>
        <w:t>s</w:t>
      </w:r>
      <w:r w:rsidRPr="00B12401">
        <w:rPr>
          <w:rFonts w:ascii="Verdana" w:hAnsi="Verdana"/>
          <w:sz w:val="24"/>
          <w:szCs w:val="24"/>
        </w:rPr>
        <w:t xml:space="preserve"> work closely to evaluate the needs of incoming inmates with disabilities and ensure the appropriate bed placement for each individual upon arrival.</w:t>
      </w:r>
    </w:p>
    <w:p w14:paraId="723062BC" w14:textId="77777777" w:rsidR="00760B6A" w:rsidRPr="00BA5A17" w:rsidRDefault="00760B6A" w:rsidP="00760B6A">
      <w:pPr>
        <w:pStyle w:val="ListParagraph"/>
        <w:jc w:val="both"/>
        <w:rPr>
          <w:rFonts w:ascii="Verdana" w:hAnsi="Verdana"/>
          <w:sz w:val="24"/>
          <w:szCs w:val="24"/>
        </w:rPr>
      </w:pPr>
    </w:p>
    <w:p w14:paraId="210F6798" w14:textId="4DCCCD9E" w:rsidR="00EE4A31" w:rsidRPr="00760B6A" w:rsidRDefault="00760B6A" w:rsidP="00760B6A">
      <w:pPr>
        <w:pStyle w:val="ListParagraph"/>
        <w:numPr>
          <w:ilvl w:val="0"/>
          <w:numId w:val="21"/>
        </w:numPr>
        <w:tabs>
          <w:tab w:val="left" w:pos="450"/>
        </w:tabs>
        <w:ind w:left="450" w:hanging="450"/>
        <w:jc w:val="both"/>
        <w:rPr>
          <w:rFonts w:ascii="Verdana" w:hAnsi="Verdana"/>
          <w:sz w:val="24"/>
          <w:szCs w:val="24"/>
        </w:rPr>
      </w:pPr>
      <w:r w:rsidRPr="00B12401">
        <w:rPr>
          <w:rFonts w:ascii="Verdana" w:hAnsi="Verdana"/>
          <w:sz w:val="24"/>
          <w:szCs w:val="24"/>
        </w:rPr>
        <w:t>Inmates with Disabilities can be housed in differing specialized housing, based on their individualized needs.</w:t>
      </w:r>
    </w:p>
    <w:p w14:paraId="6705F4AE" w14:textId="77777777" w:rsidR="00F2774F" w:rsidRPr="00F2774F" w:rsidRDefault="00F2774F" w:rsidP="00F2774F">
      <w:pPr>
        <w:spacing w:after="0"/>
        <w:rPr>
          <w:rFonts w:ascii="Verdana" w:hAnsi="Verdana"/>
          <w:sz w:val="24"/>
          <w:szCs w:val="24"/>
        </w:rPr>
      </w:pPr>
    </w:p>
    <w:p w14:paraId="421A6B90" w14:textId="77777777" w:rsidR="009B3BFB" w:rsidRDefault="009B3BFB" w:rsidP="009B3BFB">
      <w:pPr>
        <w:pStyle w:val="Heading1"/>
      </w:pPr>
      <w:bookmarkStart w:id="1" w:name="_Toc218762040"/>
      <w:r>
        <w:t>Follow up responses to previous GCPD meeting</w:t>
      </w:r>
      <w:bookmarkEnd w:id="1"/>
    </w:p>
    <w:p w14:paraId="38E81F85" w14:textId="20B5CAF5" w:rsidR="00760B6A" w:rsidRDefault="00823595" w:rsidP="00823595">
      <w:pPr>
        <w:spacing w:after="0"/>
        <w:jc w:val="both"/>
        <w:rPr>
          <w:rFonts w:ascii="Verdana" w:hAnsi="Verdana"/>
          <w:iCs/>
          <w:sz w:val="24"/>
          <w:szCs w:val="24"/>
        </w:rPr>
      </w:pPr>
      <w:r w:rsidRPr="00823595">
        <w:rPr>
          <w:rFonts w:ascii="Verdana" w:hAnsi="Verdana"/>
          <w:iCs/>
          <w:sz w:val="24"/>
          <w:szCs w:val="24"/>
        </w:rPr>
        <w:t>D</w:t>
      </w:r>
      <w:r w:rsidR="00FA1AA1" w:rsidRPr="00823595">
        <w:rPr>
          <w:rFonts w:ascii="Verdana" w:hAnsi="Verdana"/>
          <w:iCs/>
          <w:sz w:val="24"/>
          <w:szCs w:val="24"/>
        </w:rPr>
        <w:t xml:space="preserve">eaf </w:t>
      </w:r>
      <w:r w:rsidRPr="00823595">
        <w:rPr>
          <w:rFonts w:ascii="Verdana" w:hAnsi="Verdana"/>
          <w:iCs/>
          <w:sz w:val="24"/>
          <w:szCs w:val="24"/>
        </w:rPr>
        <w:t>S</w:t>
      </w:r>
      <w:r w:rsidR="00FA1AA1" w:rsidRPr="00823595">
        <w:rPr>
          <w:rFonts w:ascii="Verdana" w:hAnsi="Verdana"/>
          <w:iCs/>
          <w:sz w:val="24"/>
          <w:szCs w:val="24"/>
        </w:rPr>
        <w:t xml:space="preserve">ervice </w:t>
      </w:r>
      <w:r w:rsidR="00760B6A" w:rsidRPr="00823595">
        <w:rPr>
          <w:rFonts w:ascii="Verdana" w:hAnsi="Verdana"/>
          <w:iCs/>
          <w:sz w:val="24"/>
          <w:szCs w:val="24"/>
        </w:rPr>
        <w:t>accommodation</w:t>
      </w:r>
      <w:r w:rsidRPr="00823595">
        <w:rPr>
          <w:rFonts w:ascii="Verdana" w:hAnsi="Verdana"/>
          <w:iCs/>
          <w:sz w:val="24"/>
          <w:szCs w:val="24"/>
        </w:rPr>
        <w:t>s</w:t>
      </w:r>
      <w:r>
        <w:rPr>
          <w:rFonts w:ascii="Verdana" w:hAnsi="Verdana"/>
          <w:iCs/>
          <w:sz w:val="24"/>
          <w:szCs w:val="24"/>
        </w:rPr>
        <w:t xml:space="preserve"> within the TDCJ</w:t>
      </w:r>
      <w:r w:rsidRPr="00823595">
        <w:rPr>
          <w:rFonts w:ascii="Verdana" w:hAnsi="Verdana"/>
          <w:iCs/>
          <w:sz w:val="24"/>
          <w:szCs w:val="24"/>
        </w:rPr>
        <w:t xml:space="preserve"> – Brief Summary</w:t>
      </w:r>
    </w:p>
    <w:p w14:paraId="6EABD73F" w14:textId="73B13146" w:rsidR="00823595" w:rsidRPr="00823595" w:rsidRDefault="00823595" w:rsidP="00823595">
      <w:pPr>
        <w:spacing w:after="0"/>
        <w:jc w:val="both"/>
        <w:rPr>
          <w:rFonts w:ascii="Verdana" w:hAnsi="Verdana" w:cs="Calibri"/>
          <w:sz w:val="24"/>
          <w:szCs w:val="24"/>
        </w:rPr>
      </w:pPr>
      <w:r w:rsidRPr="00823595">
        <w:rPr>
          <w:rFonts w:ascii="Verdana" w:hAnsi="Verdana" w:cs="Calibri"/>
          <w:sz w:val="24"/>
          <w:szCs w:val="24"/>
        </w:rPr>
        <w:t xml:space="preserve">The </w:t>
      </w:r>
      <w:r>
        <w:rPr>
          <w:rFonts w:ascii="Verdana" w:hAnsi="Verdana" w:cs="Calibri"/>
          <w:sz w:val="24"/>
          <w:szCs w:val="24"/>
        </w:rPr>
        <w:t xml:space="preserve">UTMB-Correctional Managed Care </w:t>
      </w:r>
      <w:r w:rsidRPr="00823595">
        <w:rPr>
          <w:rFonts w:ascii="Verdana" w:hAnsi="Verdana" w:cs="Calibri"/>
          <w:sz w:val="24"/>
          <w:szCs w:val="24"/>
        </w:rPr>
        <w:t>Assistive Disability Department</w:t>
      </w:r>
      <w:r>
        <w:rPr>
          <w:rFonts w:ascii="Verdana" w:hAnsi="Verdana" w:cs="Calibri"/>
          <w:sz w:val="24"/>
          <w:szCs w:val="24"/>
        </w:rPr>
        <w:t xml:space="preserve"> (ADS)</w:t>
      </w:r>
      <w:r w:rsidRPr="00823595">
        <w:rPr>
          <w:rFonts w:ascii="Verdana" w:hAnsi="Verdana" w:cs="Calibri"/>
          <w:sz w:val="24"/>
          <w:szCs w:val="24"/>
        </w:rPr>
        <w:t xml:space="preserve"> helps inmates with physical disabilities achieve their potential for independence, productivity and integration into the Texas Department of Criminal Justice by working to develop a comprehensive system of service and support.</w:t>
      </w:r>
    </w:p>
    <w:p w14:paraId="516D747C" w14:textId="77777777" w:rsidR="00823595" w:rsidRPr="00823595" w:rsidRDefault="00823595" w:rsidP="00823595">
      <w:pPr>
        <w:spacing w:after="0"/>
        <w:jc w:val="both"/>
        <w:rPr>
          <w:rFonts w:ascii="Verdana" w:hAnsi="Verdana" w:cs="Calibri"/>
          <w:sz w:val="24"/>
          <w:szCs w:val="24"/>
        </w:rPr>
      </w:pPr>
    </w:p>
    <w:p w14:paraId="6F1AA8C3" w14:textId="77777777" w:rsidR="00823595" w:rsidRPr="00823595" w:rsidRDefault="00823595" w:rsidP="00823595">
      <w:pPr>
        <w:spacing w:after="0"/>
        <w:jc w:val="both"/>
        <w:rPr>
          <w:rFonts w:ascii="Verdana" w:hAnsi="Verdana" w:cs="Calibri"/>
          <w:sz w:val="24"/>
          <w:szCs w:val="24"/>
          <w:u w:val="single"/>
        </w:rPr>
      </w:pPr>
      <w:r w:rsidRPr="00823595">
        <w:rPr>
          <w:rFonts w:ascii="Verdana" w:hAnsi="Verdana" w:cs="Calibri"/>
          <w:sz w:val="24"/>
          <w:szCs w:val="24"/>
          <w:u w:val="single"/>
        </w:rPr>
        <w:t>Hearing Services:</w:t>
      </w:r>
    </w:p>
    <w:p w14:paraId="3C9DAD0F" w14:textId="3BBA469E" w:rsidR="00823595" w:rsidRPr="00823595" w:rsidRDefault="00823595" w:rsidP="00823595">
      <w:pPr>
        <w:pStyle w:val="NoSpacing"/>
        <w:jc w:val="both"/>
        <w:rPr>
          <w:rFonts w:ascii="Verdana" w:hAnsi="Verdana" w:cs="Calibri"/>
          <w:kern w:val="0"/>
          <w14:ligatures w14:val="none"/>
        </w:rPr>
      </w:pPr>
      <w:r>
        <w:rPr>
          <w:rFonts w:ascii="Verdana" w:hAnsi="Verdana" w:cs="Calibri"/>
          <w:kern w:val="0"/>
          <w14:ligatures w14:val="none"/>
        </w:rPr>
        <w:t>Inmates</w:t>
      </w:r>
      <w:r w:rsidRPr="00823595">
        <w:rPr>
          <w:rFonts w:ascii="Verdana" w:hAnsi="Verdana" w:cs="Calibri"/>
          <w:kern w:val="0"/>
          <w14:ligatures w14:val="none"/>
        </w:rPr>
        <w:t xml:space="preserve"> who are hearing disabled and meet the criteria for ADS will be provided services</w:t>
      </w:r>
      <w:r>
        <w:rPr>
          <w:rFonts w:ascii="Verdana" w:hAnsi="Verdana" w:cs="Calibri"/>
          <w:kern w:val="0"/>
          <w14:ligatures w14:val="none"/>
        </w:rPr>
        <w:t xml:space="preserve"> </w:t>
      </w:r>
      <w:r w:rsidRPr="00823595">
        <w:rPr>
          <w:rFonts w:ascii="Verdana" w:hAnsi="Verdana" w:cs="Calibri"/>
          <w:kern w:val="0"/>
          <w14:ligatures w14:val="none"/>
        </w:rPr>
        <w:t>to assist them in completing daily living activities. The Criteria for ADS hearing services is</w:t>
      </w:r>
      <w:r>
        <w:rPr>
          <w:rFonts w:ascii="Verdana" w:hAnsi="Verdana" w:cs="Calibri"/>
          <w:kern w:val="0"/>
          <w14:ligatures w14:val="none"/>
        </w:rPr>
        <w:t xml:space="preserve"> </w:t>
      </w:r>
      <w:r w:rsidRPr="00823595">
        <w:rPr>
          <w:rFonts w:ascii="Verdana" w:hAnsi="Verdana" w:cs="Calibri"/>
          <w:kern w:val="0"/>
          <w14:ligatures w14:val="none"/>
        </w:rPr>
        <w:t xml:space="preserve">met when the </w:t>
      </w:r>
      <w:r>
        <w:rPr>
          <w:rFonts w:ascii="Verdana" w:hAnsi="Verdana" w:cs="Calibri"/>
          <w:kern w:val="0"/>
          <w14:ligatures w14:val="none"/>
        </w:rPr>
        <w:t>inmate</w:t>
      </w:r>
      <w:r w:rsidRPr="00823595">
        <w:rPr>
          <w:rFonts w:ascii="Verdana" w:hAnsi="Verdana" w:cs="Calibri"/>
          <w:kern w:val="0"/>
          <w14:ligatures w14:val="none"/>
        </w:rPr>
        <w:t xml:space="preserve"> has an uncorrectable significant bilateral hearing loss or has profound deafness and requires the use of a qualified American Sign Language Interpreter for communicating.</w:t>
      </w:r>
    </w:p>
    <w:p w14:paraId="3FA4E001" w14:textId="77777777" w:rsidR="00823595" w:rsidRPr="00823595" w:rsidRDefault="00823595" w:rsidP="00823595">
      <w:pPr>
        <w:pStyle w:val="ListParagraph"/>
        <w:numPr>
          <w:ilvl w:val="0"/>
          <w:numId w:val="26"/>
        </w:numPr>
        <w:spacing w:line="278" w:lineRule="auto"/>
        <w:ind w:left="360"/>
        <w:contextualSpacing/>
        <w:jc w:val="both"/>
        <w:rPr>
          <w:rFonts w:ascii="Verdana" w:hAnsi="Verdana"/>
          <w:sz w:val="24"/>
          <w:szCs w:val="24"/>
        </w:rPr>
      </w:pPr>
      <w:r w:rsidRPr="00823595">
        <w:rPr>
          <w:rFonts w:ascii="Verdana" w:hAnsi="Verdana"/>
          <w:sz w:val="24"/>
          <w:szCs w:val="24"/>
        </w:rPr>
        <w:t>Definitions of Deaf and Hard of Hearing (as noted by the National Association of the Deaf):</w:t>
      </w:r>
    </w:p>
    <w:p w14:paraId="3F7DF414" w14:textId="77777777" w:rsidR="00823595" w:rsidRDefault="00823595" w:rsidP="00823595">
      <w:pPr>
        <w:pStyle w:val="NoSpacing"/>
        <w:numPr>
          <w:ilvl w:val="0"/>
          <w:numId w:val="27"/>
        </w:numPr>
        <w:ind w:left="1170"/>
        <w:jc w:val="both"/>
        <w:rPr>
          <w:rFonts w:ascii="Verdana" w:hAnsi="Verdana" w:cs="Calibri"/>
          <w:kern w:val="0"/>
          <w14:ligatures w14:val="none"/>
        </w:rPr>
      </w:pPr>
      <w:r w:rsidRPr="00823595">
        <w:rPr>
          <w:rFonts w:ascii="Verdana" w:hAnsi="Verdana" w:cs="Calibri"/>
          <w:kern w:val="0"/>
          <w14:ligatures w14:val="none"/>
        </w:rPr>
        <w:t>Profoundly deaf is defined as a person that is unable to hear and may share a</w:t>
      </w:r>
      <w:r w:rsidRPr="00823595">
        <w:rPr>
          <w:rFonts w:ascii="Verdana" w:hAnsi="Verdana" w:cs="Calibri"/>
          <w:kern w:val="0"/>
          <w14:ligatures w14:val="none"/>
        </w:rPr>
        <w:t xml:space="preserve"> </w:t>
      </w:r>
      <w:r w:rsidRPr="00823595">
        <w:rPr>
          <w:rFonts w:ascii="Verdana" w:hAnsi="Verdana" w:cs="Calibri"/>
          <w:kern w:val="0"/>
          <w14:ligatures w14:val="none"/>
        </w:rPr>
        <w:t>language known as American Sign Language (ASL).</w:t>
      </w:r>
    </w:p>
    <w:p w14:paraId="5DDB0B76" w14:textId="14640951" w:rsidR="00823595" w:rsidRDefault="00823595" w:rsidP="00823595">
      <w:pPr>
        <w:pStyle w:val="NoSpacing"/>
        <w:numPr>
          <w:ilvl w:val="0"/>
          <w:numId w:val="27"/>
        </w:numPr>
        <w:ind w:left="1170"/>
        <w:jc w:val="both"/>
        <w:rPr>
          <w:rFonts w:ascii="Verdana" w:hAnsi="Verdana" w:cs="Calibri"/>
          <w:kern w:val="0"/>
          <w14:ligatures w14:val="none"/>
        </w:rPr>
      </w:pPr>
      <w:r w:rsidRPr="00823595">
        <w:rPr>
          <w:rFonts w:ascii="Verdana" w:hAnsi="Verdana" w:cs="Calibri"/>
          <w:kern w:val="0"/>
          <w14:ligatures w14:val="none"/>
        </w:rPr>
        <w:t xml:space="preserve">Deaf is defined as an audiological condition in which a person is unable </w:t>
      </w:r>
      <w:r w:rsidR="00E22D05" w:rsidRPr="00823595">
        <w:rPr>
          <w:rFonts w:ascii="Verdana" w:hAnsi="Verdana" w:cs="Calibri"/>
          <w:kern w:val="0"/>
          <w14:ligatures w14:val="none"/>
        </w:rPr>
        <w:t>to hear</w:t>
      </w:r>
      <w:r w:rsidRPr="00823595">
        <w:rPr>
          <w:rFonts w:ascii="Verdana" w:hAnsi="Verdana" w:cs="Calibri"/>
          <w:kern w:val="0"/>
          <w14:ligatures w14:val="none"/>
        </w:rPr>
        <w:t xml:space="preserve"> </w:t>
      </w:r>
      <w:r w:rsidRPr="00823595">
        <w:rPr>
          <w:rFonts w:ascii="Verdana" w:hAnsi="Verdana" w:cs="Calibri"/>
          <w:kern w:val="0"/>
          <w14:ligatures w14:val="none"/>
        </w:rPr>
        <w:t xml:space="preserve">well enough to rely on their hearing and use it </w:t>
      </w:r>
      <w:r w:rsidR="00E22D05" w:rsidRPr="00823595">
        <w:rPr>
          <w:rFonts w:ascii="Verdana" w:hAnsi="Verdana" w:cs="Calibri"/>
          <w:kern w:val="0"/>
          <w14:ligatures w14:val="none"/>
        </w:rPr>
        <w:t>to</w:t>
      </w:r>
      <w:r w:rsidRPr="00823595">
        <w:rPr>
          <w:rFonts w:ascii="Verdana" w:hAnsi="Verdana" w:cs="Calibri"/>
          <w:kern w:val="0"/>
          <w14:ligatures w14:val="none"/>
        </w:rPr>
        <w:t xml:space="preserve"> </w:t>
      </w:r>
      <w:r w:rsidR="00E22D05" w:rsidRPr="00823595">
        <w:rPr>
          <w:rFonts w:ascii="Verdana" w:hAnsi="Verdana" w:cs="Calibri"/>
          <w:kern w:val="0"/>
          <w14:ligatures w14:val="none"/>
        </w:rPr>
        <w:t>process</w:t>
      </w:r>
      <w:r w:rsidRPr="00823595">
        <w:rPr>
          <w:rFonts w:ascii="Verdana" w:hAnsi="Verdana" w:cs="Calibri"/>
          <w:kern w:val="0"/>
          <w14:ligatures w14:val="none"/>
        </w:rPr>
        <w:t xml:space="preserve"> information.</w:t>
      </w:r>
    </w:p>
    <w:p w14:paraId="09BEA38D" w14:textId="4B36A1E9" w:rsidR="00823595" w:rsidRPr="00823595" w:rsidRDefault="00823595" w:rsidP="00823595">
      <w:pPr>
        <w:pStyle w:val="NoSpacing"/>
        <w:numPr>
          <w:ilvl w:val="0"/>
          <w:numId w:val="27"/>
        </w:numPr>
        <w:ind w:left="1170"/>
        <w:jc w:val="both"/>
        <w:rPr>
          <w:rFonts w:ascii="Verdana" w:hAnsi="Verdana" w:cs="Calibri"/>
          <w:kern w:val="0"/>
          <w14:ligatures w14:val="none"/>
        </w:rPr>
      </w:pPr>
      <w:r w:rsidRPr="00823595">
        <w:rPr>
          <w:rFonts w:ascii="Verdana" w:hAnsi="Verdana"/>
        </w:rPr>
        <w:t xml:space="preserve">Hard of hearing is defined as one who has some hearing and </w:t>
      </w:r>
      <w:r w:rsidR="00E22D05" w:rsidRPr="00823595">
        <w:rPr>
          <w:rFonts w:ascii="Verdana" w:hAnsi="Verdana"/>
        </w:rPr>
        <w:t>can</w:t>
      </w:r>
      <w:r w:rsidRPr="00823595">
        <w:rPr>
          <w:rFonts w:ascii="Verdana" w:hAnsi="Verdana"/>
        </w:rPr>
        <w:t xml:space="preserve"> use it for</w:t>
      </w:r>
      <w:r w:rsidRPr="00823595">
        <w:rPr>
          <w:rFonts w:ascii="Verdana" w:hAnsi="Verdana"/>
        </w:rPr>
        <w:t xml:space="preserve"> </w:t>
      </w:r>
      <w:r w:rsidRPr="00823595">
        <w:rPr>
          <w:rFonts w:ascii="Verdana" w:hAnsi="Verdana"/>
        </w:rPr>
        <w:t xml:space="preserve">communication purposes.           </w:t>
      </w:r>
    </w:p>
    <w:p w14:paraId="719519DB" w14:textId="77777777" w:rsidR="00823595" w:rsidRPr="00823595" w:rsidRDefault="00823595" w:rsidP="00823595">
      <w:pPr>
        <w:pStyle w:val="ListParagraph"/>
        <w:jc w:val="both"/>
        <w:rPr>
          <w:rFonts w:ascii="Verdana" w:hAnsi="Verdana"/>
          <w:sz w:val="24"/>
          <w:szCs w:val="24"/>
        </w:rPr>
      </w:pPr>
    </w:p>
    <w:p w14:paraId="771D644A" w14:textId="61049DDB" w:rsidR="00823595" w:rsidRPr="00823595" w:rsidRDefault="00823595" w:rsidP="00823595">
      <w:pPr>
        <w:pStyle w:val="ListParagraph"/>
        <w:numPr>
          <w:ilvl w:val="0"/>
          <w:numId w:val="26"/>
        </w:numPr>
        <w:spacing w:line="278" w:lineRule="auto"/>
        <w:ind w:left="360"/>
        <w:contextualSpacing/>
        <w:jc w:val="both"/>
        <w:rPr>
          <w:rFonts w:ascii="Verdana" w:hAnsi="Verdana"/>
          <w:sz w:val="24"/>
          <w:szCs w:val="24"/>
        </w:rPr>
      </w:pPr>
      <w:r w:rsidRPr="00823595">
        <w:rPr>
          <w:rFonts w:ascii="Verdana" w:hAnsi="Verdana"/>
          <w:sz w:val="24"/>
          <w:szCs w:val="24"/>
        </w:rPr>
        <w:lastRenderedPageBreak/>
        <w:t>Inmates</w:t>
      </w:r>
      <w:r w:rsidRPr="00823595">
        <w:rPr>
          <w:rFonts w:ascii="Verdana" w:hAnsi="Verdana"/>
          <w:sz w:val="24"/>
          <w:szCs w:val="24"/>
        </w:rPr>
        <w:t xml:space="preserve"> who qualify for ADS Hearing Services may be provided adaptive aids such as wrist</w:t>
      </w:r>
      <w:r w:rsidRPr="00823595">
        <w:rPr>
          <w:rFonts w:ascii="Verdana" w:hAnsi="Verdana"/>
          <w:sz w:val="24"/>
          <w:szCs w:val="24"/>
        </w:rPr>
        <w:t xml:space="preserve"> </w:t>
      </w:r>
      <w:r w:rsidRPr="00823595">
        <w:rPr>
          <w:rFonts w:ascii="Verdana" w:hAnsi="Verdana"/>
          <w:sz w:val="24"/>
          <w:szCs w:val="24"/>
        </w:rPr>
        <w:t>watches that vibrate, pocket talkers (a headphone set with microphone that allows amplification), telephone receivers with volume control, special identification passes that alert staff of the offenders’ disability, pens, notepads and hearing aids (hearing aids are issued through the UTMB Audiology Department for offenders who meet the eligibility criteria (better ear pure tone average</w:t>
      </w:r>
      <w:r w:rsidRPr="00823595">
        <w:rPr>
          <w:rFonts w:ascii="Verdana" w:hAnsi="Verdana"/>
          <w:sz w:val="24"/>
          <w:szCs w:val="24"/>
        </w:rPr>
        <w:t xml:space="preserve"> </w:t>
      </w:r>
      <w:r w:rsidRPr="00823595">
        <w:rPr>
          <w:rFonts w:ascii="Verdana" w:hAnsi="Verdana"/>
          <w:sz w:val="24"/>
          <w:szCs w:val="24"/>
        </w:rPr>
        <w:t>(PTA) &gt;45dBHL)).</w:t>
      </w:r>
    </w:p>
    <w:p w14:paraId="3D9D591A" w14:textId="77777777" w:rsidR="00823595" w:rsidRPr="00823595" w:rsidRDefault="00823595" w:rsidP="00823595">
      <w:pPr>
        <w:pStyle w:val="ListParagraph"/>
        <w:ind w:left="0"/>
        <w:jc w:val="both"/>
        <w:rPr>
          <w:rFonts w:ascii="Verdana" w:hAnsi="Verdana"/>
          <w:sz w:val="24"/>
          <w:szCs w:val="24"/>
        </w:rPr>
      </w:pPr>
    </w:p>
    <w:p w14:paraId="58701BC7" w14:textId="0D06FA10" w:rsidR="00823595" w:rsidRPr="00823595" w:rsidRDefault="00823595" w:rsidP="00823595">
      <w:pPr>
        <w:pStyle w:val="ListParagraph"/>
        <w:numPr>
          <w:ilvl w:val="0"/>
          <w:numId w:val="26"/>
        </w:numPr>
        <w:spacing w:line="278" w:lineRule="auto"/>
        <w:ind w:left="360"/>
        <w:contextualSpacing/>
        <w:jc w:val="both"/>
        <w:rPr>
          <w:rFonts w:ascii="Verdana" w:hAnsi="Verdana"/>
          <w:sz w:val="24"/>
          <w:szCs w:val="24"/>
        </w:rPr>
      </w:pPr>
      <w:r w:rsidRPr="00823595">
        <w:rPr>
          <w:rFonts w:ascii="Verdana" w:hAnsi="Verdana"/>
          <w:sz w:val="24"/>
          <w:szCs w:val="24"/>
        </w:rPr>
        <w:t xml:space="preserve">Other services that are provided for </w:t>
      </w:r>
      <w:r>
        <w:rPr>
          <w:rFonts w:ascii="Verdana" w:hAnsi="Verdana"/>
          <w:sz w:val="24"/>
          <w:szCs w:val="24"/>
        </w:rPr>
        <w:t>inmates</w:t>
      </w:r>
      <w:r w:rsidRPr="00823595">
        <w:rPr>
          <w:rFonts w:ascii="Verdana" w:hAnsi="Verdana"/>
          <w:sz w:val="24"/>
          <w:szCs w:val="24"/>
        </w:rPr>
        <w:t xml:space="preserve"> who qualify for hearing services:</w:t>
      </w:r>
    </w:p>
    <w:p w14:paraId="26947B3C" w14:textId="45764039" w:rsidR="00823595" w:rsidRPr="00823595" w:rsidRDefault="00823595" w:rsidP="009E5A51">
      <w:pPr>
        <w:pStyle w:val="ListParagraph"/>
        <w:numPr>
          <w:ilvl w:val="0"/>
          <w:numId w:val="25"/>
        </w:numPr>
        <w:spacing w:line="278" w:lineRule="auto"/>
        <w:contextualSpacing/>
        <w:jc w:val="both"/>
        <w:rPr>
          <w:rFonts w:ascii="Verdana" w:hAnsi="Verdana"/>
          <w:sz w:val="24"/>
          <w:szCs w:val="24"/>
        </w:rPr>
      </w:pPr>
      <w:r w:rsidRPr="00823595">
        <w:rPr>
          <w:rFonts w:ascii="Verdana" w:hAnsi="Verdana"/>
          <w:sz w:val="24"/>
          <w:szCs w:val="24"/>
        </w:rPr>
        <w:t xml:space="preserve">Sign Language Interpreter Services – Advanced or above Sign Language Interpreters are available for </w:t>
      </w:r>
      <w:r w:rsidRPr="00823595">
        <w:rPr>
          <w:rFonts w:ascii="Verdana" w:hAnsi="Verdana"/>
          <w:sz w:val="24"/>
          <w:szCs w:val="24"/>
        </w:rPr>
        <w:t>inmates</w:t>
      </w:r>
      <w:r w:rsidRPr="00823595">
        <w:rPr>
          <w:rFonts w:ascii="Verdana" w:hAnsi="Verdana"/>
          <w:sz w:val="24"/>
          <w:szCs w:val="24"/>
        </w:rPr>
        <w:t xml:space="preserve"> whose primary language is American Sign Language. ADS has one </w:t>
      </w:r>
      <w:r w:rsidR="006D0F6A" w:rsidRPr="00823595">
        <w:rPr>
          <w:rFonts w:ascii="Verdana" w:hAnsi="Verdana"/>
          <w:sz w:val="24"/>
          <w:szCs w:val="24"/>
        </w:rPr>
        <w:t>full-time</w:t>
      </w:r>
      <w:r w:rsidRPr="00823595">
        <w:rPr>
          <w:rFonts w:ascii="Verdana" w:hAnsi="Verdana"/>
          <w:sz w:val="24"/>
          <w:szCs w:val="24"/>
        </w:rPr>
        <w:t xml:space="preserve"> </w:t>
      </w:r>
      <w:r w:rsidRPr="00823595">
        <w:rPr>
          <w:rFonts w:ascii="Verdana" w:hAnsi="Verdana"/>
          <w:sz w:val="24"/>
          <w:szCs w:val="24"/>
        </w:rPr>
        <w:t>i</w:t>
      </w:r>
      <w:r w:rsidRPr="00823595">
        <w:rPr>
          <w:rFonts w:ascii="Verdana" w:hAnsi="Verdana"/>
          <w:sz w:val="24"/>
          <w:szCs w:val="24"/>
        </w:rPr>
        <w:t xml:space="preserve">nterpreter and one </w:t>
      </w:r>
      <w:r w:rsidRPr="00823595">
        <w:rPr>
          <w:rFonts w:ascii="Verdana" w:hAnsi="Verdana"/>
          <w:sz w:val="24"/>
          <w:szCs w:val="24"/>
        </w:rPr>
        <w:t>part-time</w:t>
      </w:r>
      <w:r w:rsidRPr="00823595">
        <w:rPr>
          <w:rFonts w:ascii="Verdana" w:hAnsi="Verdana"/>
          <w:sz w:val="24"/>
          <w:szCs w:val="24"/>
        </w:rPr>
        <w:t xml:space="preserve"> </w:t>
      </w:r>
      <w:r w:rsidRPr="00823595">
        <w:rPr>
          <w:rFonts w:ascii="Verdana" w:hAnsi="Verdana"/>
          <w:sz w:val="24"/>
          <w:szCs w:val="24"/>
        </w:rPr>
        <w:t>i</w:t>
      </w:r>
      <w:r w:rsidRPr="00823595">
        <w:rPr>
          <w:rFonts w:ascii="Verdana" w:hAnsi="Verdana"/>
          <w:sz w:val="24"/>
          <w:szCs w:val="24"/>
        </w:rPr>
        <w:t>nterpreter</w:t>
      </w:r>
      <w:r>
        <w:rPr>
          <w:rFonts w:ascii="Verdana" w:hAnsi="Verdana"/>
          <w:sz w:val="24"/>
          <w:szCs w:val="24"/>
        </w:rPr>
        <w:t xml:space="preserve">, </w:t>
      </w:r>
      <w:r w:rsidRPr="00823595">
        <w:rPr>
          <w:rFonts w:ascii="Verdana" w:hAnsi="Verdana"/>
          <w:sz w:val="24"/>
          <w:szCs w:val="24"/>
        </w:rPr>
        <w:t>located at the Estelle Unit</w:t>
      </w:r>
      <w:r>
        <w:rPr>
          <w:rFonts w:ascii="Verdana" w:hAnsi="Verdana"/>
          <w:sz w:val="24"/>
          <w:szCs w:val="24"/>
        </w:rPr>
        <w:t>.</w:t>
      </w:r>
      <w:r w:rsidRPr="00823595">
        <w:rPr>
          <w:rFonts w:ascii="Verdana" w:hAnsi="Verdana"/>
          <w:sz w:val="24"/>
          <w:szCs w:val="24"/>
        </w:rPr>
        <w:t xml:space="preserve"> </w:t>
      </w:r>
      <w:r w:rsidRPr="00823595">
        <w:rPr>
          <w:rFonts w:ascii="Verdana" w:hAnsi="Verdana"/>
          <w:sz w:val="24"/>
          <w:szCs w:val="24"/>
        </w:rPr>
        <w:t>The Murray</w:t>
      </w:r>
      <w:r w:rsidRPr="00823595">
        <w:rPr>
          <w:rFonts w:ascii="Verdana" w:hAnsi="Verdana"/>
          <w:sz w:val="24"/>
          <w:szCs w:val="24"/>
        </w:rPr>
        <w:t xml:space="preserve"> </w:t>
      </w:r>
      <w:r w:rsidRPr="00823595">
        <w:rPr>
          <w:rFonts w:ascii="Verdana" w:hAnsi="Verdana"/>
          <w:sz w:val="24"/>
          <w:szCs w:val="24"/>
        </w:rPr>
        <w:t>Unit also has an agency Sign Language Interpreter available when needed</w:t>
      </w:r>
      <w:r>
        <w:rPr>
          <w:rFonts w:ascii="Verdana" w:hAnsi="Verdana"/>
          <w:sz w:val="24"/>
          <w:szCs w:val="24"/>
        </w:rPr>
        <w:t xml:space="preserve"> along with </w:t>
      </w:r>
      <w:r w:rsidRPr="00823595">
        <w:rPr>
          <w:rFonts w:ascii="Verdana" w:hAnsi="Verdana"/>
          <w:sz w:val="24"/>
          <w:szCs w:val="24"/>
        </w:rPr>
        <w:t>service</w:t>
      </w:r>
      <w:r>
        <w:rPr>
          <w:rFonts w:ascii="Verdana" w:hAnsi="Verdana"/>
          <w:sz w:val="24"/>
          <w:szCs w:val="24"/>
        </w:rPr>
        <w:t>s</w:t>
      </w:r>
      <w:r w:rsidRPr="00823595">
        <w:rPr>
          <w:rFonts w:ascii="Verdana" w:hAnsi="Verdana"/>
          <w:sz w:val="24"/>
          <w:szCs w:val="24"/>
        </w:rPr>
        <w:t xml:space="preserve"> provided via DMS</w:t>
      </w:r>
      <w:r>
        <w:rPr>
          <w:rFonts w:ascii="Verdana" w:hAnsi="Verdana"/>
          <w:sz w:val="24"/>
          <w:szCs w:val="24"/>
        </w:rPr>
        <w:t>.</w:t>
      </w:r>
    </w:p>
    <w:p w14:paraId="1043AC65" w14:textId="7612431B" w:rsidR="00823595" w:rsidRPr="00823595" w:rsidRDefault="00823595" w:rsidP="00071DD7">
      <w:pPr>
        <w:pStyle w:val="ListParagraph"/>
        <w:numPr>
          <w:ilvl w:val="0"/>
          <w:numId w:val="25"/>
        </w:numPr>
        <w:tabs>
          <w:tab w:val="left" w:pos="990"/>
          <w:tab w:val="left" w:pos="1080"/>
          <w:tab w:val="left" w:pos="1260"/>
        </w:tabs>
        <w:spacing w:line="278" w:lineRule="auto"/>
        <w:contextualSpacing/>
        <w:jc w:val="both"/>
        <w:rPr>
          <w:rFonts w:ascii="Verdana" w:hAnsi="Verdana"/>
          <w:sz w:val="24"/>
          <w:szCs w:val="24"/>
        </w:rPr>
      </w:pPr>
      <w:r w:rsidRPr="00823595">
        <w:rPr>
          <w:rFonts w:ascii="Verdana" w:hAnsi="Verdana"/>
          <w:sz w:val="24"/>
          <w:szCs w:val="24"/>
        </w:rPr>
        <w:t xml:space="preserve">  Casework Services – ADS Caseworkers serve as advocates, resources, liaisons and</w:t>
      </w:r>
      <w:r w:rsidRPr="00823595">
        <w:rPr>
          <w:rFonts w:ascii="Verdana" w:hAnsi="Verdana"/>
          <w:sz w:val="24"/>
          <w:szCs w:val="24"/>
        </w:rPr>
        <w:t xml:space="preserve"> b</w:t>
      </w:r>
      <w:r w:rsidRPr="00823595">
        <w:rPr>
          <w:rFonts w:ascii="Verdana" w:hAnsi="Verdana"/>
          <w:sz w:val="24"/>
          <w:szCs w:val="24"/>
        </w:rPr>
        <w:t>rokers of available TDCJ services and programs. Caseworkers are responsible for</w:t>
      </w:r>
      <w:r w:rsidRPr="00823595">
        <w:rPr>
          <w:rFonts w:ascii="Verdana" w:hAnsi="Verdana"/>
          <w:sz w:val="24"/>
          <w:szCs w:val="24"/>
        </w:rPr>
        <w:t xml:space="preserve"> </w:t>
      </w:r>
      <w:r w:rsidRPr="00823595">
        <w:rPr>
          <w:rFonts w:ascii="Verdana" w:hAnsi="Verdana"/>
          <w:sz w:val="24"/>
          <w:szCs w:val="24"/>
        </w:rPr>
        <w:t xml:space="preserve">providing ADS </w:t>
      </w:r>
      <w:r w:rsidRPr="00823595">
        <w:rPr>
          <w:rFonts w:ascii="Verdana" w:hAnsi="Verdana"/>
          <w:sz w:val="24"/>
          <w:szCs w:val="24"/>
        </w:rPr>
        <w:t>inmates</w:t>
      </w:r>
      <w:r w:rsidRPr="00823595">
        <w:rPr>
          <w:rFonts w:ascii="Verdana" w:hAnsi="Verdana"/>
          <w:sz w:val="24"/>
          <w:szCs w:val="24"/>
        </w:rPr>
        <w:t xml:space="preserve"> with individual counseling in the following areas: adaptive</w:t>
      </w:r>
      <w:r w:rsidRPr="00823595">
        <w:rPr>
          <w:rFonts w:ascii="Verdana" w:hAnsi="Verdana"/>
          <w:sz w:val="24"/>
          <w:szCs w:val="24"/>
        </w:rPr>
        <w:t xml:space="preserve"> </w:t>
      </w:r>
      <w:r w:rsidRPr="00823595">
        <w:rPr>
          <w:rFonts w:ascii="Verdana" w:hAnsi="Verdana"/>
          <w:sz w:val="24"/>
          <w:szCs w:val="24"/>
        </w:rPr>
        <w:t>daily living/independent living skills, adaptive behavior, use of leisure time and</w:t>
      </w:r>
      <w:r w:rsidRPr="00823595">
        <w:rPr>
          <w:rFonts w:ascii="Verdana" w:hAnsi="Verdana"/>
          <w:sz w:val="24"/>
          <w:szCs w:val="24"/>
        </w:rPr>
        <w:t xml:space="preserve"> </w:t>
      </w:r>
      <w:r w:rsidRPr="00823595">
        <w:rPr>
          <w:rFonts w:ascii="Verdana" w:hAnsi="Verdana"/>
          <w:sz w:val="24"/>
          <w:szCs w:val="24"/>
        </w:rPr>
        <w:t>basic self-care needs and information regarding unit facilities and services.</w:t>
      </w:r>
    </w:p>
    <w:p w14:paraId="22B7D427" w14:textId="77777777" w:rsidR="00823595" w:rsidRPr="00823595" w:rsidRDefault="00823595" w:rsidP="00823595">
      <w:pPr>
        <w:pStyle w:val="ListParagraph"/>
        <w:ind w:left="270"/>
        <w:jc w:val="both"/>
        <w:rPr>
          <w:rFonts w:ascii="Verdana" w:hAnsi="Verdana"/>
          <w:sz w:val="24"/>
          <w:szCs w:val="24"/>
          <w:u w:val="single"/>
        </w:rPr>
      </w:pPr>
      <w:r w:rsidRPr="00823595">
        <w:rPr>
          <w:rFonts w:ascii="Verdana" w:hAnsi="Verdana"/>
          <w:sz w:val="24"/>
          <w:szCs w:val="24"/>
          <w:u w:val="single"/>
        </w:rPr>
        <w:t xml:space="preserve">Housing: </w:t>
      </w:r>
    </w:p>
    <w:p w14:paraId="63AAA488" w14:textId="0B535AF8" w:rsidR="00823595" w:rsidRPr="00AA4231" w:rsidRDefault="00823595" w:rsidP="00823595">
      <w:pPr>
        <w:pStyle w:val="ListParagraph"/>
        <w:ind w:left="270"/>
        <w:jc w:val="both"/>
        <w:rPr>
          <w:rFonts w:ascii="Times New Roman" w:hAnsi="Times New Roman" w:cs="Times New Roman"/>
        </w:rPr>
      </w:pPr>
      <w:r w:rsidRPr="00823595">
        <w:rPr>
          <w:rFonts w:ascii="Verdana" w:hAnsi="Verdana"/>
          <w:sz w:val="24"/>
          <w:szCs w:val="24"/>
        </w:rPr>
        <w:t xml:space="preserve">Although </w:t>
      </w:r>
      <w:r>
        <w:rPr>
          <w:rFonts w:ascii="Verdana" w:hAnsi="Verdana"/>
          <w:sz w:val="24"/>
          <w:szCs w:val="24"/>
        </w:rPr>
        <w:t>inmates</w:t>
      </w:r>
      <w:r w:rsidRPr="00823595">
        <w:rPr>
          <w:rFonts w:ascii="Verdana" w:hAnsi="Verdana"/>
          <w:sz w:val="24"/>
          <w:szCs w:val="24"/>
        </w:rPr>
        <w:t xml:space="preserve"> with hearing loss can be housed on any TDCJ facility, the Estelle Unit in Huntsville, Texas is considered the primary unit for housing male </w:t>
      </w:r>
      <w:r>
        <w:rPr>
          <w:rFonts w:ascii="Verdana" w:hAnsi="Verdana"/>
          <w:sz w:val="24"/>
          <w:szCs w:val="24"/>
        </w:rPr>
        <w:t xml:space="preserve">inmates </w:t>
      </w:r>
      <w:r w:rsidRPr="00823595">
        <w:rPr>
          <w:rFonts w:ascii="Verdana" w:hAnsi="Verdana"/>
          <w:sz w:val="24"/>
          <w:szCs w:val="24"/>
        </w:rPr>
        <w:t xml:space="preserve">with the severest hearing loss. The Murray Unit in Gatesville, Texas is considered the primary unit for housing female </w:t>
      </w:r>
      <w:r>
        <w:rPr>
          <w:rFonts w:ascii="Verdana" w:hAnsi="Verdana"/>
          <w:sz w:val="24"/>
          <w:szCs w:val="24"/>
        </w:rPr>
        <w:t>inmates</w:t>
      </w:r>
      <w:r w:rsidRPr="00823595">
        <w:rPr>
          <w:rFonts w:ascii="Verdana" w:hAnsi="Verdana"/>
          <w:sz w:val="24"/>
          <w:szCs w:val="24"/>
        </w:rPr>
        <w:t xml:space="preserve"> with severe hearing loss. Typically, deaf </w:t>
      </w:r>
      <w:r>
        <w:rPr>
          <w:rFonts w:ascii="Verdana" w:hAnsi="Verdana"/>
          <w:sz w:val="24"/>
          <w:szCs w:val="24"/>
        </w:rPr>
        <w:t>inmates</w:t>
      </w:r>
      <w:r w:rsidRPr="00823595">
        <w:rPr>
          <w:rFonts w:ascii="Verdana" w:hAnsi="Verdana"/>
          <w:sz w:val="24"/>
          <w:szCs w:val="24"/>
        </w:rPr>
        <w:t xml:space="preserve"> are housed in the same housing area to allow communication with other deaf </w:t>
      </w:r>
      <w:r>
        <w:rPr>
          <w:rFonts w:ascii="Verdana" w:hAnsi="Verdana"/>
          <w:sz w:val="24"/>
          <w:szCs w:val="24"/>
        </w:rPr>
        <w:t>individuals</w:t>
      </w:r>
      <w:r w:rsidRPr="00823595">
        <w:rPr>
          <w:rFonts w:ascii="Verdana" w:hAnsi="Verdana"/>
          <w:sz w:val="24"/>
          <w:szCs w:val="24"/>
        </w:rPr>
        <w:t xml:space="preserve">.  </w:t>
      </w:r>
    </w:p>
    <w:p w14:paraId="710F947E" w14:textId="77777777" w:rsidR="00823595" w:rsidRPr="00760B6A" w:rsidRDefault="00823595" w:rsidP="009B3BFB">
      <w:pPr>
        <w:rPr>
          <w:rFonts w:ascii="Verdana" w:hAnsi="Verdana"/>
          <w:iCs/>
          <w:sz w:val="24"/>
          <w:szCs w:val="24"/>
        </w:rPr>
      </w:pPr>
    </w:p>
    <w:p w14:paraId="6A889578" w14:textId="10A22FF8" w:rsidR="00BD613E" w:rsidRDefault="00BD613E" w:rsidP="00ED23E7">
      <w:pPr>
        <w:pStyle w:val="Heading1"/>
      </w:pPr>
      <w:bookmarkStart w:id="2" w:name="_Toc218762041"/>
      <w:r>
        <w:t>Performance Measures</w:t>
      </w:r>
      <w:bookmarkEnd w:id="2"/>
    </w:p>
    <w:p w14:paraId="244E4155" w14:textId="77777777" w:rsidR="00760B6A" w:rsidRDefault="00760B6A" w:rsidP="00760B6A">
      <w:pPr>
        <w:rPr>
          <w:rFonts w:ascii="Verdana" w:hAnsi="Verdana"/>
          <w:iCs/>
          <w:sz w:val="24"/>
          <w:szCs w:val="24"/>
        </w:rPr>
      </w:pPr>
      <w:r w:rsidRPr="008B7444">
        <w:rPr>
          <w:rFonts w:ascii="Verdana" w:hAnsi="Verdana"/>
          <w:iCs/>
          <w:sz w:val="24"/>
          <w:szCs w:val="24"/>
        </w:rPr>
        <w:t xml:space="preserve">Number of special needs </w:t>
      </w:r>
      <w:r>
        <w:rPr>
          <w:rFonts w:ascii="Verdana" w:hAnsi="Verdana"/>
          <w:iCs/>
          <w:sz w:val="24"/>
          <w:szCs w:val="24"/>
        </w:rPr>
        <w:t>inmates</w:t>
      </w:r>
      <w:r w:rsidRPr="008B7444">
        <w:rPr>
          <w:rFonts w:ascii="Verdana" w:hAnsi="Verdana"/>
          <w:iCs/>
          <w:sz w:val="24"/>
          <w:szCs w:val="24"/>
        </w:rPr>
        <w:t xml:space="preserve"> served through continuity of care programs.</w:t>
      </w:r>
    </w:p>
    <w:p w14:paraId="692D246E" w14:textId="2E1C51A8" w:rsidR="00760B6A" w:rsidRPr="00EE26EE" w:rsidRDefault="00760B6A" w:rsidP="00760B6A">
      <w:pPr>
        <w:rPr>
          <w:rFonts w:ascii="Verdana" w:hAnsi="Verdana"/>
          <w:iCs/>
          <w:sz w:val="24"/>
          <w:szCs w:val="24"/>
        </w:rPr>
      </w:pPr>
      <w:r w:rsidRPr="00EE26EE">
        <w:rPr>
          <w:rFonts w:ascii="Verdana" w:hAnsi="Verdana"/>
          <w:iCs/>
          <w:sz w:val="24"/>
          <w:szCs w:val="24"/>
        </w:rPr>
        <w:t>FY202</w:t>
      </w:r>
      <w:r>
        <w:rPr>
          <w:rFonts w:ascii="Verdana" w:hAnsi="Verdana"/>
          <w:iCs/>
          <w:sz w:val="24"/>
          <w:szCs w:val="24"/>
        </w:rPr>
        <w:t>5</w:t>
      </w:r>
      <w:r w:rsidRPr="00EE26EE">
        <w:rPr>
          <w:rFonts w:ascii="Verdana" w:hAnsi="Verdana"/>
          <w:iCs/>
          <w:sz w:val="24"/>
          <w:szCs w:val="24"/>
        </w:rPr>
        <w:t xml:space="preserve"> Target</w:t>
      </w:r>
      <w:r w:rsidRPr="00EE26EE">
        <w:rPr>
          <w:rFonts w:ascii="Verdana" w:hAnsi="Verdana"/>
          <w:iCs/>
          <w:sz w:val="24"/>
          <w:szCs w:val="24"/>
        </w:rPr>
        <w:tab/>
      </w:r>
      <w:r w:rsidRPr="00EE26EE">
        <w:rPr>
          <w:rFonts w:ascii="Verdana" w:hAnsi="Verdana"/>
          <w:iCs/>
          <w:sz w:val="24"/>
          <w:szCs w:val="24"/>
        </w:rPr>
        <w:tab/>
        <w:t>70,000</w:t>
      </w:r>
    </w:p>
    <w:p w14:paraId="03DB85E7" w14:textId="34FF51EF" w:rsidR="00760B6A" w:rsidRPr="008B7444" w:rsidRDefault="00760B6A" w:rsidP="00760B6A">
      <w:pPr>
        <w:rPr>
          <w:rFonts w:ascii="Verdana" w:hAnsi="Verdana"/>
          <w:iCs/>
          <w:sz w:val="24"/>
          <w:szCs w:val="24"/>
        </w:rPr>
      </w:pPr>
      <w:r w:rsidRPr="00EE26EE">
        <w:rPr>
          <w:rFonts w:ascii="Verdana" w:hAnsi="Verdana"/>
          <w:iCs/>
          <w:sz w:val="24"/>
          <w:szCs w:val="24"/>
        </w:rPr>
        <w:t>FY202</w:t>
      </w:r>
      <w:r>
        <w:rPr>
          <w:rFonts w:ascii="Verdana" w:hAnsi="Verdana"/>
          <w:iCs/>
          <w:sz w:val="24"/>
          <w:szCs w:val="24"/>
        </w:rPr>
        <w:t>5</w:t>
      </w:r>
      <w:r w:rsidRPr="00EE26EE">
        <w:rPr>
          <w:rFonts w:ascii="Verdana" w:hAnsi="Verdana"/>
          <w:iCs/>
          <w:sz w:val="24"/>
          <w:szCs w:val="24"/>
        </w:rPr>
        <w:t xml:space="preserve"> Performance</w:t>
      </w:r>
      <w:r w:rsidRPr="00EE26EE">
        <w:rPr>
          <w:rFonts w:ascii="Verdana" w:hAnsi="Verdana"/>
          <w:iCs/>
          <w:sz w:val="24"/>
          <w:szCs w:val="24"/>
        </w:rPr>
        <w:tab/>
      </w:r>
      <w:r w:rsidR="00867630">
        <w:rPr>
          <w:rFonts w:ascii="Verdana" w:hAnsi="Verdana"/>
          <w:iCs/>
          <w:sz w:val="24"/>
          <w:szCs w:val="24"/>
        </w:rPr>
        <w:t>111,443</w:t>
      </w:r>
    </w:p>
    <w:p w14:paraId="1E4755EC" w14:textId="77777777" w:rsidR="00760B6A" w:rsidRDefault="00760B6A" w:rsidP="00760B6A">
      <w:pPr>
        <w:rPr>
          <w:rFonts w:ascii="Verdana" w:hAnsi="Verdana"/>
          <w:iCs/>
          <w:sz w:val="24"/>
          <w:szCs w:val="24"/>
        </w:rPr>
      </w:pPr>
    </w:p>
    <w:p w14:paraId="17AC9EA6" w14:textId="448786B3" w:rsidR="00760B6A" w:rsidRDefault="00760B6A" w:rsidP="00760B6A">
      <w:pPr>
        <w:rPr>
          <w:rFonts w:ascii="Verdana" w:hAnsi="Verdana"/>
          <w:iCs/>
          <w:sz w:val="24"/>
          <w:szCs w:val="24"/>
        </w:rPr>
      </w:pPr>
      <w:r w:rsidRPr="008B7444">
        <w:rPr>
          <w:rFonts w:ascii="Verdana" w:hAnsi="Verdana"/>
          <w:iCs/>
          <w:sz w:val="24"/>
          <w:szCs w:val="24"/>
        </w:rPr>
        <w:lastRenderedPageBreak/>
        <w:t xml:space="preserve">Three-year recidivism rate for </w:t>
      </w:r>
      <w:r>
        <w:rPr>
          <w:rFonts w:ascii="Verdana" w:hAnsi="Verdana"/>
          <w:iCs/>
          <w:sz w:val="24"/>
          <w:szCs w:val="24"/>
        </w:rPr>
        <w:t>inmates</w:t>
      </w:r>
      <w:r w:rsidRPr="008B7444">
        <w:rPr>
          <w:rFonts w:ascii="Verdana" w:hAnsi="Verdana"/>
          <w:iCs/>
          <w:sz w:val="24"/>
          <w:szCs w:val="24"/>
        </w:rPr>
        <w:t xml:space="preserve"> with special needs</w:t>
      </w:r>
    </w:p>
    <w:p w14:paraId="572E6A32" w14:textId="6D7801FA" w:rsidR="00760B6A" w:rsidRPr="00EE26EE" w:rsidRDefault="00760B6A" w:rsidP="00760B6A">
      <w:pPr>
        <w:rPr>
          <w:rFonts w:ascii="Verdana" w:hAnsi="Verdana"/>
          <w:iCs/>
          <w:sz w:val="24"/>
          <w:szCs w:val="24"/>
        </w:rPr>
      </w:pPr>
      <w:r w:rsidRPr="00EE26EE">
        <w:rPr>
          <w:rFonts w:ascii="Verdana" w:hAnsi="Verdana"/>
          <w:iCs/>
          <w:sz w:val="24"/>
          <w:szCs w:val="24"/>
        </w:rPr>
        <w:t>FY202</w:t>
      </w:r>
      <w:r>
        <w:rPr>
          <w:rFonts w:ascii="Verdana" w:hAnsi="Verdana"/>
          <w:iCs/>
          <w:sz w:val="24"/>
          <w:szCs w:val="24"/>
        </w:rPr>
        <w:t>5</w:t>
      </w:r>
      <w:r w:rsidRPr="00EE26EE">
        <w:rPr>
          <w:rFonts w:ascii="Verdana" w:hAnsi="Verdana"/>
          <w:iCs/>
          <w:sz w:val="24"/>
          <w:szCs w:val="24"/>
        </w:rPr>
        <w:t xml:space="preserve"> Target</w:t>
      </w:r>
      <w:r w:rsidRPr="00EE26EE">
        <w:rPr>
          <w:rFonts w:ascii="Verdana" w:hAnsi="Verdana"/>
          <w:iCs/>
          <w:sz w:val="24"/>
          <w:szCs w:val="24"/>
        </w:rPr>
        <w:tab/>
      </w:r>
      <w:r w:rsidRPr="00EE26EE">
        <w:rPr>
          <w:rFonts w:ascii="Verdana" w:hAnsi="Verdana"/>
          <w:iCs/>
          <w:sz w:val="24"/>
          <w:szCs w:val="24"/>
        </w:rPr>
        <w:tab/>
        <w:t>14.0%</w:t>
      </w:r>
    </w:p>
    <w:p w14:paraId="2AACF428" w14:textId="4308D2B0" w:rsidR="00760B6A" w:rsidRPr="008B7444" w:rsidRDefault="00760B6A" w:rsidP="00760B6A">
      <w:pPr>
        <w:rPr>
          <w:rFonts w:ascii="Verdana" w:hAnsi="Verdana"/>
          <w:iCs/>
          <w:sz w:val="24"/>
          <w:szCs w:val="24"/>
        </w:rPr>
      </w:pPr>
      <w:r w:rsidRPr="00EE26EE">
        <w:rPr>
          <w:rFonts w:ascii="Verdana" w:hAnsi="Verdana"/>
          <w:iCs/>
          <w:sz w:val="24"/>
          <w:szCs w:val="24"/>
        </w:rPr>
        <w:t>FY202</w:t>
      </w:r>
      <w:r>
        <w:rPr>
          <w:rFonts w:ascii="Verdana" w:hAnsi="Verdana"/>
          <w:iCs/>
          <w:sz w:val="24"/>
          <w:szCs w:val="24"/>
        </w:rPr>
        <w:t>5</w:t>
      </w:r>
      <w:r w:rsidRPr="00EE26EE">
        <w:rPr>
          <w:rFonts w:ascii="Verdana" w:hAnsi="Verdana"/>
          <w:iCs/>
          <w:sz w:val="24"/>
          <w:szCs w:val="24"/>
        </w:rPr>
        <w:t xml:space="preserve"> Performance</w:t>
      </w:r>
      <w:r w:rsidRPr="00EE26EE">
        <w:rPr>
          <w:rFonts w:ascii="Verdana" w:hAnsi="Verdana"/>
          <w:iCs/>
          <w:sz w:val="24"/>
          <w:szCs w:val="24"/>
        </w:rPr>
        <w:tab/>
        <w:t>9.4%</w:t>
      </w:r>
    </w:p>
    <w:p w14:paraId="34855590" w14:textId="77777777" w:rsidR="00BD613E" w:rsidRDefault="00BD613E" w:rsidP="00ED23E7">
      <w:pPr>
        <w:pStyle w:val="Heading1"/>
      </w:pPr>
      <w:bookmarkStart w:id="3" w:name="_Toc218762042"/>
      <w:r>
        <w:t xml:space="preserve">Substantial </w:t>
      </w:r>
      <w:r w:rsidR="008E758F">
        <w:t xml:space="preserve">agency </w:t>
      </w:r>
      <w:r>
        <w:t xml:space="preserve">policy changes and </w:t>
      </w:r>
      <w:r w:rsidR="008E758F">
        <w:t xml:space="preserve">key personnel or </w:t>
      </w:r>
      <w:r>
        <w:t>organizational changes</w:t>
      </w:r>
      <w:bookmarkEnd w:id="3"/>
    </w:p>
    <w:p w14:paraId="31294155" w14:textId="16BC3020" w:rsidR="00E839E2" w:rsidRDefault="00760B6A" w:rsidP="00F2774F">
      <w:pPr>
        <w:rPr>
          <w:rFonts w:ascii="Verdana" w:hAnsi="Verdana"/>
          <w:sz w:val="24"/>
          <w:szCs w:val="24"/>
        </w:rPr>
      </w:pPr>
      <w:r w:rsidRPr="00760B6A">
        <w:rPr>
          <w:rFonts w:ascii="Verdana" w:hAnsi="Verdana"/>
          <w:sz w:val="24"/>
          <w:szCs w:val="24"/>
        </w:rPr>
        <w:t>The Texas Board of Criminal Justice (TBCJ) appointed Bobby Lumpkin as the new Executive Director of the Texas Department of Criminal Justice (TDCJ) at the scheduled board meeting on Tuesday, August 19. Lumpkin will assume the role effective September 1, 2025.</w:t>
      </w:r>
    </w:p>
    <w:p w14:paraId="2A847AE7" w14:textId="77102D98" w:rsidR="00BD613E" w:rsidRPr="006D0F6A" w:rsidRDefault="00BD613E" w:rsidP="00ED23E7">
      <w:pPr>
        <w:pStyle w:val="Heading1"/>
      </w:pPr>
      <w:bookmarkStart w:id="4" w:name="_Toc218762043"/>
      <w:r w:rsidRPr="006D0F6A">
        <w:t>New disability</w:t>
      </w:r>
      <w:r w:rsidR="002D66E2" w:rsidRPr="006D0F6A">
        <w:t>-</w:t>
      </w:r>
      <w:r w:rsidRPr="006D0F6A">
        <w:t xml:space="preserve"> or accessibility</w:t>
      </w:r>
      <w:r w:rsidR="002D66E2" w:rsidRPr="006D0F6A">
        <w:t>-related</w:t>
      </w:r>
      <w:r w:rsidRPr="006D0F6A">
        <w:t xml:space="preserve"> program initiatives</w:t>
      </w:r>
      <w:bookmarkEnd w:id="4"/>
    </w:p>
    <w:p w14:paraId="376BB1EE" w14:textId="3D6D561E" w:rsidR="00F2774F" w:rsidRDefault="006D0F6A" w:rsidP="00F2774F">
      <w:pPr>
        <w:rPr>
          <w:rFonts w:ascii="Verdana" w:hAnsi="Verdana"/>
          <w:sz w:val="24"/>
          <w:szCs w:val="24"/>
        </w:rPr>
      </w:pPr>
      <w:r>
        <w:rPr>
          <w:rFonts w:ascii="Verdana" w:hAnsi="Verdana"/>
          <w:sz w:val="24"/>
          <w:szCs w:val="24"/>
        </w:rPr>
        <w:t>Onsite Emergency Room services were added to the Beto Unit in Tennessee Colony in November of 2025</w:t>
      </w:r>
      <w:r w:rsidR="00E0373F">
        <w:rPr>
          <w:rFonts w:ascii="Verdana" w:hAnsi="Verdana"/>
          <w:sz w:val="24"/>
          <w:szCs w:val="24"/>
        </w:rPr>
        <w:t>, as part of ongoing long-range efforts in provision of custodial care.</w:t>
      </w:r>
    </w:p>
    <w:p w14:paraId="3995D246" w14:textId="77777777" w:rsidR="00BD613E" w:rsidRPr="006D0F6A" w:rsidRDefault="00BD613E" w:rsidP="00ED23E7">
      <w:pPr>
        <w:pStyle w:val="Heading1"/>
      </w:pPr>
      <w:bookmarkStart w:id="5" w:name="_Toc218762044"/>
      <w:r w:rsidRPr="006D0F6A">
        <w:t>Significant interagency initiatives relating to disability programs</w:t>
      </w:r>
      <w:bookmarkEnd w:id="5"/>
    </w:p>
    <w:p w14:paraId="43B0A6F7" w14:textId="7A34BEBC" w:rsidR="00F2774F" w:rsidRDefault="006D0F6A" w:rsidP="00F2774F">
      <w:pPr>
        <w:rPr>
          <w:rFonts w:ascii="Verdana" w:hAnsi="Verdana"/>
          <w:sz w:val="24"/>
          <w:szCs w:val="24"/>
        </w:rPr>
      </w:pPr>
      <w:r w:rsidRPr="006D0F6A">
        <w:rPr>
          <w:rFonts w:ascii="Verdana" w:hAnsi="Verdana"/>
          <w:sz w:val="24"/>
          <w:szCs w:val="24"/>
        </w:rPr>
        <w:t>No new initiatives to report at this time.</w:t>
      </w:r>
    </w:p>
    <w:p w14:paraId="6B021BE8" w14:textId="77777777" w:rsidR="00BD613E" w:rsidRDefault="00BD613E" w:rsidP="00ED23E7">
      <w:pPr>
        <w:pStyle w:val="Heading1"/>
      </w:pPr>
      <w:bookmarkStart w:id="6" w:name="_Toc218762045"/>
      <w:r w:rsidRPr="00E0373F">
        <w:t>Calendar</w:t>
      </w:r>
      <w:bookmarkEnd w:id="6"/>
    </w:p>
    <w:p w14:paraId="729AF475" w14:textId="5568EEB8" w:rsidR="00E839E2" w:rsidRDefault="00E839E2" w:rsidP="00E839E2">
      <w:pPr>
        <w:jc w:val="both"/>
        <w:rPr>
          <w:rFonts w:ascii="Verdana" w:hAnsi="Verdana"/>
          <w:sz w:val="24"/>
          <w:szCs w:val="24"/>
        </w:rPr>
      </w:pPr>
      <w:r w:rsidRPr="008B7444">
        <w:rPr>
          <w:rFonts w:ascii="Verdana" w:hAnsi="Verdana"/>
          <w:sz w:val="24"/>
          <w:szCs w:val="24"/>
        </w:rPr>
        <w:t xml:space="preserve">Members of the Texas Correctional Office on Offenders with Medical or Mental Impairments (TCOOMMI) Advisory Committee </w:t>
      </w:r>
      <w:r>
        <w:rPr>
          <w:rFonts w:ascii="Verdana" w:hAnsi="Verdana"/>
          <w:sz w:val="24"/>
          <w:szCs w:val="24"/>
        </w:rPr>
        <w:t xml:space="preserve">will </w:t>
      </w:r>
      <w:r w:rsidR="00E22D05" w:rsidRPr="008B7444">
        <w:rPr>
          <w:rFonts w:ascii="Verdana" w:hAnsi="Verdana"/>
          <w:sz w:val="24"/>
          <w:szCs w:val="24"/>
        </w:rPr>
        <w:t>meet</w:t>
      </w:r>
      <w:r>
        <w:rPr>
          <w:rFonts w:ascii="Verdana" w:hAnsi="Verdana"/>
          <w:sz w:val="24"/>
          <w:szCs w:val="24"/>
        </w:rPr>
        <w:t xml:space="preserve"> the week of January 19-23, </w:t>
      </w:r>
      <w:r w:rsidR="00E22D05">
        <w:rPr>
          <w:rFonts w:ascii="Verdana" w:hAnsi="Verdana"/>
          <w:sz w:val="24"/>
          <w:szCs w:val="24"/>
        </w:rPr>
        <w:t>2026,</w:t>
      </w:r>
      <w:r w:rsidRPr="008B7444">
        <w:rPr>
          <w:rFonts w:ascii="Verdana" w:hAnsi="Verdana"/>
          <w:sz w:val="24"/>
          <w:szCs w:val="24"/>
        </w:rPr>
        <w:t xml:space="preserve"> to discuss mental health in prison and diversion opportunities in the community for those who have </w:t>
      </w:r>
      <w:r w:rsidR="00E22D05" w:rsidRPr="008B7444">
        <w:rPr>
          <w:rFonts w:ascii="Verdana" w:hAnsi="Verdana"/>
          <w:sz w:val="24"/>
          <w:szCs w:val="24"/>
        </w:rPr>
        <w:t>encountered</w:t>
      </w:r>
      <w:r w:rsidRPr="008B7444">
        <w:rPr>
          <w:rFonts w:ascii="Verdana" w:hAnsi="Verdana"/>
          <w:sz w:val="24"/>
          <w:szCs w:val="24"/>
        </w:rPr>
        <w:t xml:space="preserve"> the criminal justice system.</w:t>
      </w:r>
    </w:p>
    <w:p w14:paraId="1D6933EE" w14:textId="77777777" w:rsidR="004F0A13" w:rsidRPr="00976B83" w:rsidRDefault="00FE24E4" w:rsidP="00976B83">
      <w:pPr>
        <w:pStyle w:val="Heading1"/>
      </w:pPr>
      <w:bookmarkStart w:id="7" w:name="_Toc218762046"/>
      <w:r w:rsidRPr="00976B83">
        <w:rPr>
          <w:rStyle w:val="Heading2Char"/>
          <w:sz w:val="28"/>
          <w:szCs w:val="32"/>
        </w:rPr>
        <w:t xml:space="preserve">Long-range </w:t>
      </w:r>
      <w:r w:rsidR="00ED23E7" w:rsidRPr="00976B83">
        <w:rPr>
          <w:rStyle w:val="Heading2Char"/>
          <w:sz w:val="28"/>
          <w:szCs w:val="32"/>
        </w:rPr>
        <w:t>strategic p</w:t>
      </w:r>
      <w:r w:rsidR="00BD613E" w:rsidRPr="00976B83">
        <w:rPr>
          <w:rStyle w:val="Heading2Char"/>
          <w:sz w:val="28"/>
          <w:szCs w:val="32"/>
        </w:rPr>
        <w:t>lans for people with disabilities</w:t>
      </w:r>
      <w:bookmarkEnd w:id="7"/>
    </w:p>
    <w:p w14:paraId="11C3AAE6" w14:textId="34C488CB" w:rsidR="00E839E2" w:rsidRDefault="00E839E2" w:rsidP="00E839E2">
      <w:pPr>
        <w:spacing w:after="0"/>
        <w:jc w:val="both"/>
        <w:rPr>
          <w:rFonts w:ascii="Verdana" w:hAnsi="Verdana"/>
          <w:sz w:val="24"/>
          <w:szCs w:val="24"/>
        </w:rPr>
      </w:pPr>
      <w:r w:rsidRPr="00B637EE">
        <w:rPr>
          <w:rFonts w:ascii="Verdana" w:hAnsi="Verdana"/>
          <w:sz w:val="24"/>
          <w:szCs w:val="24"/>
        </w:rPr>
        <w:t xml:space="preserve">As part of providing custodial care and support services within TDCJ correctional facilities, more medical services </w:t>
      </w:r>
      <w:r>
        <w:rPr>
          <w:rFonts w:ascii="Verdana" w:hAnsi="Verdana"/>
          <w:sz w:val="24"/>
          <w:szCs w:val="24"/>
        </w:rPr>
        <w:t>are provided</w:t>
      </w:r>
      <w:r w:rsidRPr="00B637EE">
        <w:rPr>
          <w:rFonts w:ascii="Verdana" w:hAnsi="Verdana"/>
          <w:sz w:val="24"/>
          <w:szCs w:val="24"/>
        </w:rPr>
        <w:t xml:space="preserve"> at the unit level to decrease inmate transportation. These specialty services include mobile imaging (i.e. MRI, ultrasound), physical therapy and occupational therapy, orthopedics, obstetrics, and gynecological services and a regionally located emergency medical department.</w:t>
      </w:r>
      <w:r w:rsidR="00604519">
        <w:rPr>
          <w:rFonts w:ascii="Verdana" w:hAnsi="Verdana"/>
          <w:sz w:val="24"/>
          <w:szCs w:val="24"/>
        </w:rPr>
        <w:t xml:space="preserve"> </w:t>
      </w:r>
    </w:p>
    <w:p w14:paraId="1A80071C" w14:textId="77777777" w:rsidR="00E839E2" w:rsidRDefault="00E839E2" w:rsidP="00E839E2">
      <w:pPr>
        <w:spacing w:after="0"/>
        <w:jc w:val="both"/>
        <w:rPr>
          <w:rFonts w:ascii="Verdana" w:hAnsi="Verdana"/>
          <w:sz w:val="24"/>
          <w:szCs w:val="24"/>
        </w:rPr>
      </w:pPr>
    </w:p>
    <w:p w14:paraId="3C9D7093" w14:textId="5E934E95" w:rsidR="00E839E2" w:rsidRDefault="00E839E2" w:rsidP="00E839E2">
      <w:pPr>
        <w:jc w:val="both"/>
        <w:rPr>
          <w:rFonts w:ascii="Verdana" w:hAnsi="Verdana"/>
          <w:sz w:val="24"/>
          <w:szCs w:val="24"/>
        </w:rPr>
      </w:pPr>
      <w:r>
        <w:rPr>
          <w:rFonts w:ascii="Verdana" w:hAnsi="Verdana"/>
          <w:sz w:val="24"/>
          <w:szCs w:val="24"/>
        </w:rPr>
        <w:t xml:space="preserve">Rehabilitation and reentry programs continue to engage in </w:t>
      </w:r>
      <w:r w:rsidRPr="00A7001F">
        <w:rPr>
          <w:rFonts w:ascii="Verdana" w:hAnsi="Verdana"/>
          <w:sz w:val="24"/>
          <w:szCs w:val="24"/>
        </w:rPr>
        <w:t xml:space="preserve">continuity of care </w:t>
      </w:r>
      <w:r>
        <w:rPr>
          <w:rFonts w:ascii="Verdana" w:hAnsi="Verdana"/>
          <w:sz w:val="24"/>
          <w:szCs w:val="24"/>
        </w:rPr>
        <w:t xml:space="preserve">planning </w:t>
      </w:r>
      <w:r w:rsidRPr="00A7001F">
        <w:rPr>
          <w:rFonts w:ascii="Verdana" w:hAnsi="Verdana"/>
          <w:sz w:val="24"/>
          <w:szCs w:val="24"/>
        </w:rPr>
        <w:t>for special needs inmates nearing release</w:t>
      </w:r>
      <w:r>
        <w:rPr>
          <w:rFonts w:ascii="Verdana" w:hAnsi="Verdana"/>
          <w:sz w:val="24"/>
          <w:szCs w:val="24"/>
        </w:rPr>
        <w:t xml:space="preserve"> by offering</w:t>
      </w:r>
      <w:r w:rsidRPr="00A7001F">
        <w:rPr>
          <w:rFonts w:ascii="Verdana" w:hAnsi="Verdana"/>
          <w:sz w:val="24"/>
          <w:szCs w:val="24"/>
        </w:rPr>
        <w:t xml:space="preserve"> opportunities for programming and process coordination</w:t>
      </w:r>
      <w:r>
        <w:rPr>
          <w:rFonts w:ascii="Verdana" w:hAnsi="Verdana"/>
          <w:sz w:val="24"/>
          <w:szCs w:val="24"/>
        </w:rPr>
        <w:t xml:space="preserve"> within </w:t>
      </w:r>
      <w:r w:rsidRPr="00A7001F">
        <w:rPr>
          <w:rFonts w:ascii="Verdana" w:hAnsi="Verdana"/>
          <w:sz w:val="24"/>
          <w:szCs w:val="24"/>
        </w:rPr>
        <w:t>reentry planning</w:t>
      </w:r>
      <w:r>
        <w:rPr>
          <w:rFonts w:ascii="Verdana" w:hAnsi="Verdana"/>
          <w:sz w:val="24"/>
          <w:szCs w:val="24"/>
        </w:rPr>
        <w:t xml:space="preserve"> that</w:t>
      </w:r>
      <w:r w:rsidRPr="00A7001F">
        <w:rPr>
          <w:rFonts w:ascii="Verdana" w:hAnsi="Verdana"/>
          <w:sz w:val="24"/>
          <w:szCs w:val="24"/>
        </w:rPr>
        <w:t xml:space="preserve"> adapt</w:t>
      </w:r>
      <w:r>
        <w:rPr>
          <w:rFonts w:ascii="Verdana" w:hAnsi="Verdana"/>
          <w:sz w:val="24"/>
          <w:szCs w:val="24"/>
        </w:rPr>
        <w:t>s</w:t>
      </w:r>
      <w:r w:rsidRPr="00A7001F">
        <w:rPr>
          <w:rFonts w:ascii="Verdana" w:hAnsi="Verdana"/>
          <w:sz w:val="24"/>
          <w:szCs w:val="24"/>
        </w:rPr>
        <w:t xml:space="preserve"> and enhance</w:t>
      </w:r>
      <w:r>
        <w:rPr>
          <w:rFonts w:ascii="Verdana" w:hAnsi="Verdana"/>
          <w:sz w:val="24"/>
          <w:szCs w:val="24"/>
        </w:rPr>
        <w:t>s</w:t>
      </w:r>
      <w:r w:rsidRPr="00A7001F">
        <w:rPr>
          <w:rFonts w:ascii="Verdana" w:hAnsi="Verdana"/>
          <w:sz w:val="24"/>
          <w:szCs w:val="24"/>
        </w:rPr>
        <w:t xml:space="preserve"> program case management</w:t>
      </w:r>
      <w:r>
        <w:rPr>
          <w:rFonts w:ascii="Verdana" w:hAnsi="Verdana"/>
          <w:sz w:val="24"/>
          <w:szCs w:val="24"/>
        </w:rPr>
        <w:t>.  Engaging</w:t>
      </w:r>
      <w:r w:rsidRPr="00A7001F">
        <w:rPr>
          <w:rFonts w:ascii="Verdana" w:hAnsi="Verdana"/>
          <w:sz w:val="24"/>
          <w:szCs w:val="24"/>
        </w:rPr>
        <w:t xml:space="preserve"> special needs inmates in long-term positive health planning through identification, referral, and collaboration with community-based resources</w:t>
      </w:r>
      <w:r>
        <w:rPr>
          <w:rFonts w:ascii="Verdana" w:hAnsi="Verdana"/>
          <w:sz w:val="24"/>
          <w:szCs w:val="24"/>
        </w:rPr>
        <w:t xml:space="preserve">, and coordinating benefit </w:t>
      </w:r>
      <w:r>
        <w:rPr>
          <w:rFonts w:ascii="Verdana" w:hAnsi="Verdana"/>
          <w:sz w:val="24"/>
          <w:szCs w:val="24"/>
        </w:rPr>
        <w:lastRenderedPageBreak/>
        <w:t>entitlements (securing Social Security, Medicare, Medicaid, Veterans Administration benefits) and through community partners linkage to Healthcare Marketplace.</w:t>
      </w:r>
      <w:r w:rsidR="00604519">
        <w:rPr>
          <w:rFonts w:ascii="Verdana" w:hAnsi="Verdana"/>
          <w:sz w:val="24"/>
          <w:szCs w:val="24"/>
        </w:rPr>
        <w:t xml:space="preserve">  Partnerships with Texas Workforce Commission-Vocational Rehabilitation, Department of State Health and Health and Human Services Commission continue to support continuity of care efforts as individuals transition from institution to community.</w:t>
      </w:r>
    </w:p>
    <w:p w14:paraId="36134861" w14:textId="77777777" w:rsidR="004F0A13" w:rsidRDefault="00ED23E7" w:rsidP="004F0A13">
      <w:pPr>
        <w:pStyle w:val="Heading1"/>
      </w:pPr>
      <w:bookmarkStart w:id="8" w:name="_Toc218762047"/>
      <w:r>
        <w:t>Disability Program Updates</w:t>
      </w:r>
      <w:bookmarkEnd w:id="8"/>
    </w:p>
    <w:p w14:paraId="1CCC94D2" w14:textId="0628C5DC" w:rsidR="00D73591" w:rsidRPr="00240999" w:rsidRDefault="00A034EA" w:rsidP="004F0A13">
      <w:pPr>
        <w:rPr>
          <w:rFonts w:ascii="Verdana" w:hAnsi="Verdana"/>
          <w:i/>
          <w:sz w:val="24"/>
          <w:szCs w:val="24"/>
        </w:rPr>
      </w:pPr>
      <w:r w:rsidRPr="00240999">
        <w:rPr>
          <w:rFonts w:ascii="Verdana" w:hAnsi="Verdana"/>
          <w:i/>
          <w:sz w:val="24"/>
          <w:szCs w:val="24"/>
        </w:rPr>
        <w:t>Information as it pertains to your agency’s disability-related programs</w:t>
      </w:r>
      <w:r w:rsidR="000B7AF5">
        <w:rPr>
          <w:rFonts w:ascii="Verdana" w:hAnsi="Verdana"/>
          <w:i/>
          <w:sz w:val="24"/>
          <w:szCs w:val="24"/>
        </w:rPr>
        <w:t>.</w:t>
      </w:r>
    </w:p>
    <w:p w14:paraId="6F75FF1F" w14:textId="6AFB571C" w:rsidR="00D73591" w:rsidRDefault="006631D2" w:rsidP="00EC0AAC">
      <w:pPr>
        <w:pStyle w:val="Heading2"/>
        <w:numPr>
          <w:ilvl w:val="0"/>
          <w:numId w:val="23"/>
        </w:numPr>
      </w:pPr>
      <w:bookmarkStart w:id="9" w:name="_Toc218762048"/>
      <w:r>
        <w:t>The W</w:t>
      </w:r>
      <w:r w:rsidR="00461F2B">
        <w:t>i</w:t>
      </w:r>
      <w:r>
        <w:t>ndham School</w:t>
      </w:r>
      <w:bookmarkEnd w:id="9"/>
    </w:p>
    <w:p w14:paraId="2170D1ED" w14:textId="238E9CD8" w:rsidR="00604519" w:rsidRDefault="00604519" w:rsidP="00604519">
      <w:pPr>
        <w:pStyle w:val="ListParagraph"/>
        <w:rPr>
          <w:rFonts w:ascii="Verdana" w:hAnsi="Verdana"/>
          <w:sz w:val="24"/>
          <w:szCs w:val="24"/>
        </w:rPr>
      </w:pPr>
      <w:r w:rsidRPr="00EE26EE">
        <w:rPr>
          <w:rFonts w:ascii="Verdana" w:hAnsi="Verdana"/>
          <w:sz w:val="24"/>
          <w:szCs w:val="24"/>
        </w:rPr>
        <w:t xml:space="preserve">The Windham School District serves students </w:t>
      </w:r>
      <w:r>
        <w:rPr>
          <w:rFonts w:ascii="Verdana" w:hAnsi="Verdana"/>
          <w:sz w:val="24"/>
          <w:szCs w:val="24"/>
        </w:rPr>
        <w:t xml:space="preserve">incarcerated within TDCJ facilities </w:t>
      </w:r>
      <w:r w:rsidRPr="00EE26EE">
        <w:rPr>
          <w:rFonts w:ascii="Verdana" w:hAnsi="Verdana"/>
          <w:sz w:val="24"/>
          <w:szCs w:val="24"/>
        </w:rPr>
        <w:t>in accordance with</w:t>
      </w:r>
      <w:r>
        <w:rPr>
          <w:rFonts w:ascii="Verdana" w:hAnsi="Verdana"/>
          <w:sz w:val="24"/>
          <w:szCs w:val="24"/>
        </w:rPr>
        <w:t xml:space="preserve"> the Individuals with Disabilities Education Act (IDEA), </w:t>
      </w:r>
      <w:r w:rsidRPr="00EE26EE">
        <w:rPr>
          <w:rFonts w:ascii="Verdana" w:hAnsi="Verdana"/>
          <w:sz w:val="24"/>
          <w:szCs w:val="24"/>
        </w:rPr>
        <w:t>section 504 of the Rehabilitation Act of 1973 and Title II of the Americans with Disabilities Act.  Services provided include sign language interpreters, Braille, and speech and language pathology.</w:t>
      </w:r>
    </w:p>
    <w:p w14:paraId="0032404D" w14:textId="62D35C0E" w:rsidR="00604519" w:rsidRDefault="00604519" w:rsidP="00604519">
      <w:pPr>
        <w:pStyle w:val="ListParagraph"/>
        <w:rPr>
          <w:rFonts w:ascii="Verdana" w:hAnsi="Verdana"/>
          <w:sz w:val="24"/>
          <w:szCs w:val="24"/>
        </w:rPr>
      </w:pPr>
      <w:r>
        <w:rPr>
          <w:rFonts w:ascii="Verdana" w:hAnsi="Verdana"/>
          <w:sz w:val="24"/>
          <w:szCs w:val="24"/>
        </w:rPr>
        <w:t xml:space="preserve">As of </w:t>
      </w:r>
      <w:r w:rsidR="00867630">
        <w:rPr>
          <w:rFonts w:ascii="Verdana" w:hAnsi="Verdana"/>
          <w:sz w:val="24"/>
          <w:szCs w:val="24"/>
        </w:rPr>
        <w:t xml:space="preserve">December </w:t>
      </w:r>
      <w:r w:rsidR="00A53822">
        <w:rPr>
          <w:rFonts w:ascii="Verdana" w:hAnsi="Verdana"/>
          <w:sz w:val="24"/>
          <w:szCs w:val="24"/>
        </w:rPr>
        <w:t>3</w:t>
      </w:r>
      <w:r w:rsidR="00867630">
        <w:rPr>
          <w:rFonts w:ascii="Verdana" w:hAnsi="Verdana"/>
          <w:sz w:val="24"/>
          <w:szCs w:val="24"/>
        </w:rPr>
        <w:t>0, 2025</w:t>
      </w:r>
      <w:r>
        <w:rPr>
          <w:rFonts w:ascii="Verdana" w:hAnsi="Verdana"/>
          <w:sz w:val="24"/>
          <w:szCs w:val="24"/>
        </w:rPr>
        <w:t>, the following are receiving special education services:</w:t>
      </w:r>
    </w:p>
    <w:p w14:paraId="22D97D3A" w14:textId="77777777" w:rsidR="00604519" w:rsidRPr="00604519" w:rsidRDefault="00604519" w:rsidP="00604519">
      <w:pPr>
        <w:pStyle w:val="ListParagraph"/>
        <w:rPr>
          <w:rFonts w:ascii="Verdana" w:hAnsi="Verdana"/>
          <w:i/>
          <w:iCs/>
          <w:sz w:val="24"/>
          <w:szCs w:val="24"/>
        </w:rPr>
      </w:pPr>
      <w:r w:rsidRPr="00604519">
        <w:rPr>
          <w:rFonts w:ascii="Verdana" w:hAnsi="Verdana"/>
          <w:i/>
          <w:iCs/>
          <w:sz w:val="24"/>
          <w:szCs w:val="24"/>
        </w:rPr>
        <w:t>Note: this includes eligible students who are under age 22.</w:t>
      </w:r>
    </w:p>
    <w:p w14:paraId="0CA5D6D8" w14:textId="3534D763" w:rsidR="00604519" w:rsidRDefault="00604519" w:rsidP="00604519">
      <w:pPr>
        <w:pStyle w:val="ListParagraph"/>
        <w:rPr>
          <w:rFonts w:ascii="Verdana" w:hAnsi="Verdana"/>
          <w:sz w:val="24"/>
          <w:szCs w:val="24"/>
        </w:rPr>
      </w:pPr>
      <w:r>
        <w:rPr>
          <w:rFonts w:ascii="Verdana" w:hAnsi="Verdana"/>
          <w:sz w:val="24"/>
          <w:szCs w:val="24"/>
        </w:rPr>
        <w:t xml:space="preserve">Special Education Program – </w:t>
      </w:r>
      <w:r w:rsidR="00867630">
        <w:rPr>
          <w:rFonts w:ascii="Verdana" w:hAnsi="Verdana"/>
          <w:sz w:val="24"/>
          <w:szCs w:val="24"/>
        </w:rPr>
        <w:t>296</w:t>
      </w:r>
    </w:p>
    <w:p w14:paraId="6D4A5397" w14:textId="3F926B78" w:rsidR="00604519" w:rsidRDefault="00604519" w:rsidP="00604519">
      <w:pPr>
        <w:pStyle w:val="ListParagraph"/>
        <w:rPr>
          <w:rFonts w:ascii="Verdana" w:hAnsi="Verdana"/>
          <w:sz w:val="24"/>
          <w:szCs w:val="24"/>
        </w:rPr>
      </w:pPr>
      <w:r w:rsidRPr="00604519">
        <w:rPr>
          <w:rFonts w:ascii="Verdana" w:hAnsi="Verdana"/>
          <w:sz w:val="24"/>
          <w:szCs w:val="24"/>
        </w:rPr>
        <w:t xml:space="preserve">Section 504 Accommodations </w:t>
      </w:r>
      <w:r>
        <w:rPr>
          <w:rFonts w:ascii="Verdana" w:hAnsi="Verdana"/>
          <w:sz w:val="24"/>
          <w:szCs w:val="24"/>
        </w:rPr>
        <w:t>–</w:t>
      </w:r>
      <w:r w:rsidRPr="00604519">
        <w:rPr>
          <w:rFonts w:ascii="Verdana" w:hAnsi="Verdana"/>
          <w:sz w:val="24"/>
          <w:szCs w:val="24"/>
        </w:rPr>
        <w:t xml:space="preserve"> </w:t>
      </w:r>
      <w:r w:rsidR="00867630">
        <w:rPr>
          <w:rFonts w:ascii="Verdana" w:hAnsi="Verdana"/>
          <w:sz w:val="24"/>
          <w:szCs w:val="24"/>
        </w:rPr>
        <w:t>32</w:t>
      </w:r>
    </w:p>
    <w:p w14:paraId="3BEC3BEE" w14:textId="77777777" w:rsidR="00604519" w:rsidRPr="00604519" w:rsidRDefault="00604519" w:rsidP="00604519">
      <w:pPr>
        <w:pStyle w:val="ListParagraph"/>
      </w:pPr>
    </w:p>
    <w:p w14:paraId="1CC9495E" w14:textId="195B0E2D" w:rsidR="00D73591" w:rsidRDefault="00DB6CDA" w:rsidP="00EC0AAC">
      <w:pPr>
        <w:pStyle w:val="Heading2"/>
        <w:numPr>
          <w:ilvl w:val="0"/>
          <w:numId w:val="23"/>
        </w:numPr>
      </w:pPr>
      <w:bookmarkStart w:id="10" w:name="_Toc218762049"/>
      <w:r>
        <w:t xml:space="preserve">Reentry Programs </w:t>
      </w:r>
      <w:r w:rsidR="006631D2">
        <w:t xml:space="preserve">for </w:t>
      </w:r>
      <w:r w:rsidR="00461F2B">
        <w:t>P</w:t>
      </w:r>
      <w:r w:rsidR="006631D2">
        <w:t xml:space="preserve">eople with </w:t>
      </w:r>
      <w:r w:rsidR="00461F2B">
        <w:t>D</w:t>
      </w:r>
      <w:r w:rsidR="006631D2">
        <w:t>isabilities</w:t>
      </w:r>
      <w:bookmarkEnd w:id="10"/>
    </w:p>
    <w:p w14:paraId="340B6844" w14:textId="753569F3" w:rsidR="00604519" w:rsidRPr="00604519" w:rsidRDefault="00604519" w:rsidP="00604519">
      <w:pPr>
        <w:ind w:left="720"/>
        <w:jc w:val="both"/>
        <w:rPr>
          <w:rFonts w:ascii="Verdana" w:hAnsi="Verdana"/>
          <w:sz w:val="24"/>
          <w:szCs w:val="24"/>
        </w:rPr>
      </w:pPr>
      <w:bookmarkStart w:id="11" w:name="_Hlk203143600"/>
      <w:r w:rsidRPr="00604519">
        <w:rPr>
          <w:rFonts w:ascii="Verdana" w:hAnsi="Verdana"/>
          <w:sz w:val="24"/>
          <w:szCs w:val="24"/>
        </w:rPr>
        <w:t xml:space="preserve">Mental Health caseload by gender as of </w:t>
      </w:r>
      <w:r>
        <w:rPr>
          <w:rFonts w:ascii="Verdana" w:hAnsi="Verdana"/>
          <w:sz w:val="24"/>
          <w:szCs w:val="24"/>
        </w:rPr>
        <w:t>November</w:t>
      </w:r>
      <w:r w:rsidRPr="00604519">
        <w:rPr>
          <w:rFonts w:ascii="Verdana" w:hAnsi="Verdana"/>
          <w:sz w:val="24"/>
          <w:szCs w:val="24"/>
        </w:rPr>
        <w:t xml:space="preserve"> 3</w:t>
      </w:r>
      <w:r w:rsidR="00E0373F">
        <w:rPr>
          <w:rFonts w:ascii="Verdana" w:hAnsi="Verdana"/>
          <w:sz w:val="24"/>
          <w:szCs w:val="24"/>
        </w:rPr>
        <w:t>0</w:t>
      </w:r>
      <w:r w:rsidRPr="00604519">
        <w:rPr>
          <w:rFonts w:ascii="Verdana" w:hAnsi="Verdana"/>
          <w:sz w:val="24"/>
          <w:szCs w:val="24"/>
        </w:rPr>
        <w:t>, 202</w:t>
      </w:r>
      <w:r>
        <w:rPr>
          <w:rFonts w:ascii="Verdana" w:hAnsi="Verdana"/>
          <w:sz w:val="24"/>
          <w:szCs w:val="24"/>
        </w:rPr>
        <w:t xml:space="preserve">5 </w:t>
      </w:r>
    </w:p>
    <w:p w14:paraId="34ABCA4D" w14:textId="5A33A0EF" w:rsidR="00604519" w:rsidRDefault="00E0373F" w:rsidP="00604519">
      <w:pPr>
        <w:ind w:left="720"/>
        <w:jc w:val="both"/>
      </w:pPr>
      <w:r w:rsidRPr="00BC6FAC">
        <w:rPr>
          <w:noProof/>
        </w:rPr>
        <w:drawing>
          <wp:inline distT="0" distB="0" distL="0" distR="0" wp14:anchorId="1E108034" wp14:editId="0F5D13A4">
            <wp:extent cx="5413248" cy="933458"/>
            <wp:effectExtent l="0" t="0" r="0" b="0"/>
            <wp:docPr id="408890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38296" cy="937777"/>
                    </a:xfrm>
                    <a:prstGeom prst="rect">
                      <a:avLst/>
                    </a:prstGeom>
                    <a:noFill/>
                    <a:ln>
                      <a:noFill/>
                    </a:ln>
                  </pic:spPr>
                </pic:pic>
              </a:graphicData>
            </a:graphic>
          </wp:inline>
        </w:drawing>
      </w:r>
    </w:p>
    <w:p w14:paraId="3D7CBE65" w14:textId="11795F5B" w:rsidR="00604519" w:rsidRPr="00604519" w:rsidRDefault="00604519" w:rsidP="00604519">
      <w:pPr>
        <w:ind w:left="720"/>
        <w:jc w:val="both"/>
        <w:rPr>
          <w:rFonts w:ascii="Verdana" w:hAnsi="Verdana"/>
          <w:sz w:val="24"/>
          <w:szCs w:val="24"/>
        </w:rPr>
      </w:pPr>
      <w:r w:rsidRPr="00E0373F">
        <w:rPr>
          <w:rFonts w:ascii="Verdana" w:hAnsi="Verdana"/>
          <w:sz w:val="24"/>
          <w:szCs w:val="24"/>
        </w:rPr>
        <w:t>Inmates with mental illness account for 27.</w:t>
      </w:r>
      <w:r w:rsidR="00E0373F" w:rsidRPr="00E0373F">
        <w:rPr>
          <w:rFonts w:ascii="Verdana" w:hAnsi="Verdana"/>
          <w:sz w:val="24"/>
          <w:szCs w:val="24"/>
        </w:rPr>
        <w:t>42</w:t>
      </w:r>
      <w:r w:rsidRPr="00E0373F">
        <w:rPr>
          <w:rFonts w:ascii="Verdana" w:hAnsi="Verdana"/>
          <w:sz w:val="24"/>
          <w:szCs w:val="24"/>
        </w:rPr>
        <w:t xml:space="preserve">% of the inmate population.  The mentally ill population has increased by approximately </w:t>
      </w:r>
      <w:r w:rsidR="00E0373F" w:rsidRPr="00E0373F">
        <w:rPr>
          <w:rFonts w:ascii="Verdana" w:hAnsi="Verdana"/>
          <w:sz w:val="24"/>
          <w:szCs w:val="24"/>
        </w:rPr>
        <w:t>54.0</w:t>
      </w:r>
      <w:r w:rsidRPr="00E0373F">
        <w:rPr>
          <w:rFonts w:ascii="Verdana" w:hAnsi="Verdana"/>
          <w:sz w:val="24"/>
          <w:szCs w:val="24"/>
        </w:rPr>
        <w:t xml:space="preserve">% during the last </w:t>
      </w:r>
      <w:r w:rsidR="00E0373F" w:rsidRPr="00E0373F">
        <w:rPr>
          <w:rFonts w:ascii="Verdana" w:hAnsi="Verdana"/>
          <w:sz w:val="24"/>
          <w:szCs w:val="24"/>
        </w:rPr>
        <w:t>ten</w:t>
      </w:r>
      <w:r w:rsidRPr="00E0373F">
        <w:rPr>
          <w:rFonts w:ascii="Verdana" w:hAnsi="Verdana"/>
          <w:sz w:val="24"/>
          <w:szCs w:val="24"/>
        </w:rPr>
        <w:t xml:space="preserve"> years, whereas overall population has decreased by </w:t>
      </w:r>
      <w:r w:rsidR="00E0373F" w:rsidRPr="00E0373F">
        <w:rPr>
          <w:rFonts w:ascii="Verdana" w:hAnsi="Verdana"/>
          <w:sz w:val="24"/>
          <w:szCs w:val="24"/>
        </w:rPr>
        <w:t>5.0</w:t>
      </w:r>
      <w:r w:rsidRPr="00E0373F">
        <w:rPr>
          <w:rFonts w:ascii="Verdana" w:hAnsi="Verdana"/>
          <w:sz w:val="24"/>
          <w:szCs w:val="24"/>
        </w:rPr>
        <w:t>%.</w:t>
      </w:r>
    </w:p>
    <w:p w14:paraId="75A0FB09" w14:textId="3FE91628" w:rsidR="00604519" w:rsidRPr="00604519" w:rsidRDefault="00604519" w:rsidP="00604519">
      <w:pPr>
        <w:ind w:left="720"/>
        <w:jc w:val="both"/>
        <w:rPr>
          <w:rFonts w:ascii="Verdana" w:hAnsi="Verdana"/>
          <w:sz w:val="24"/>
          <w:szCs w:val="24"/>
        </w:rPr>
      </w:pPr>
      <w:r w:rsidRPr="00604519">
        <w:rPr>
          <w:rFonts w:ascii="Verdana" w:hAnsi="Verdana"/>
          <w:sz w:val="24"/>
          <w:szCs w:val="24"/>
        </w:rPr>
        <w:t xml:space="preserve">TDCJ on hand populations and admissions are cross referenced against the Health and Human Services Commission Client Access and Registry (CARE) database monthly.  This data provides probation, parole, and institutional systems with information regarding inmate service histories within the public mental health system.  As </w:t>
      </w:r>
      <w:r w:rsidRPr="00867630">
        <w:rPr>
          <w:rFonts w:ascii="Verdana" w:hAnsi="Verdana"/>
          <w:sz w:val="24"/>
          <w:szCs w:val="24"/>
        </w:rPr>
        <w:t>of November 30, 2025,</w:t>
      </w:r>
      <w:r w:rsidRPr="00604519">
        <w:rPr>
          <w:rFonts w:ascii="Verdana" w:hAnsi="Verdana"/>
          <w:sz w:val="24"/>
          <w:szCs w:val="24"/>
        </w:rPr>
        <w:t xml:space="preserve"> there </w:t>
      </w:r>
      <w:r w:rsidRPr="00867630">
        <w:rPr>
          <w:rFonts w:ascii="Verdana" w:hAnsi="Verdana"/>
          <w:sz w:val="24"/>
          <w:szCs w:val="24"/>
        </w:rPr>
        <w:t>were 6</w:t>
      </w:r>
      <w:r w:rsidR="00867630" w:rsidRPr="00867630">
        <w:rPr>
          <w:rFonts w:ascii="Verdana" w:hAnsi="Verdana"/>
          <w:sz w:val="24"/>
          <w:szCs w:val="24"/>
        </w:rPr>
        <w:t>2,282</w:t>
      </w:r>
      <w:r w:rsidRPr="00867630">
        <w:rPr>
          <w:rFonts w:ascii="Verdana" w:hAnsi="Verdana"/>
          <w:sz w:val="24"/>
          <w:szCs w:val="24"/>
        </w:rPr>
        <w:t xml:space="preserve"> inmates</w:t>
      </w:r>
      <w:r w:rsidRPr="00604519">
        <w:rPr>
          <w:rFonts w:ascii="Verdana" w:hAnsi="Verdana"/>
          <w:sz w:val="24"/>
          <w:szCs w:val="24"/>
        </w:rPr>
        <w:t xml:space="preserve"> who had received services within the public mental health system.  Of this number, </w:t>
      </w:r>
      <w:r w:rsidR="00867630">
        <w:rPr>
          <w:rFonts w:ascii="Verdana" w:hAnsi="Verdana"/>
          <w:sz w:val="24"/>
          <w:szCs w:val="24"/>
        </w:rPr>
        <w:t>6,799</w:t>
      </w:r>
      <w:r w:rsidRPr="00604519">
        <w:rPr>
          <w:rFonts w:ascii="Verdana" w:hAnsi="Verdana"/>
          <w:sz w:val="24"/>
          <w:szCs w:val="24"/>
        </w:rPr>
        <w:t xml:space="preserve"> were reported to have a confirmed diagnosis of schizophrenia, bipolar or major depressive </w:t>
      </w:r>
      <w:r w:rsidRPr="00604519">
        <w:rPr>
          <w:rFonts w:ascii="Verdana" w:hAnsi="Verdana"/>
          <w:sz w:val="24"/>
          <w:szCs w:val="24"/>
        </w:rPr>
        <w:lastRenderedPageBreak/>
        <w:t>disorder, which is the targeted population for the public funded mental health system of Texas.</w:t>
      </w:r>
    </w:p>
    <w:bookmarkEnd w:id="11"/>
    <w:p w14:paraId="0E357663" w14:textId="13031435" w:rsidR="00604519" w:rsidRPr="003A4EF8" w:rsidRDefault="003A4EF8" w:rsidP="003A4EF8">
      <w:pPr>
        <w:jc w:val="center"/>
        <w:rPr>
          <w:rFonts w:ascii="Verdana" w:hAnsi="Verdana"/>
          <w:sz w:val="24"/>
          <w:szCs w:val="24"/>
        </w:rPr>
      </w:pPr>
      <w:r w:rsidRPr="003A4EF8">
        <w:rPr>
          <w:rFonts w:ascii="Verdana" w:hAnsi="Verdana"/>
          <w:sz w:val="24"/>
          <w:szCs w:val="24"/>
        </w:rPr>
        <w:t>November 2025</w:t>
      </w:r>
    </w:p>
    <w:tbl>
      <w:tblPr>
        <w:tblW w:w="9020" w:type="dxa"/>
        <w:tblInd w:w="108" w:type="dxa"/>
        <w:tblLook w:val="04A0" w:firstRow="1" w:lastRow="0" w:firstColumn="1" w:lastColumn="0" w:noHBand="0" w:noVBand="1"/>
      </w:tblPr>
      <w:tblGrid>
        <w:gridCol w:w="2120"/>
        <w:gridCol w:w="1380"/>
        <w:gridCol w:w="1380"/>
        <w:gridCol w:w="1380"/>
        <w:gridCol w:w="1380"/>
        <w:gridCol w:w="1380"/>
      </w:tblGrid>
      <w:tr w:rsidR="00E0373F" w:rsidRPr="00E96DBC" w14:paraId="3E21DCC1" w14:textId="77777777" w:rsidTr="004D5C46">
        <w:trPr>
          <w:trHeight w:val="315"/>
        </w:trPr>
        <w:tc>
          <w:tcPr>
            <w:tcW w:w="2120" w:type="dxa"/>
            <w:tcBorders>
              <w:top w:val="nil"/>
              <w:left w:val="nil"/>
              <w:bottom w:val="nil"/>
              <w:right w:val="single" w:sz="8" w:space="0" w:color="000000"/>
            </w:tcBorders>
            <w:shd w:val="clear" w:color="000000" w:fill="FFFFFF"/>
            <w:noWrap/>
            <w:vAlign w:val="center"/>
            <w:hideMark/>
          </w:tcPr>
          <w:p w14:paraId="44107D45" w14:textId="77777777" w:rsidR="00E0373F" w:rsidRPr="00E0373F" w:rsidRDefault="00E0373F" w:rsidP="00E0373F">
            <w:pPr>
              <w:spacing w:after="0" w:line="240" w:lineRule="auto"/>
              <w:rPr>
                <w:rFonts w:ascii="Verdana" w:hAnsi="Verdana" w:cs="Arial"/>
                <w:sz w:val="16"/>
                <w:szCs w:val="16"/>
              </w:rPr>
            </w:pPr>
            <w:r w:rsidRPr="00E0373F">
              <w:rPr>
                <w:rFonts w:ascii="Verdana" w:hAnsi="Verdana" w:cs="Arial"/>
                <w:sz w:val="16"/>
                <w:szCs w:val="16"/>
              </w:rPr>
              <w:t> </w:t>
            </w:r>
          </w:p>
        </w:tc>
        <w:tc>
          <w:tcPr>
            <w:tcW w:w="1380" w:type="dxa"/>
            <w:vMerge w:val="restart"/>
            <w:tcBorders>
              <w:top w:val="single" w:sz="8" w:space="0" w:color="000000"/>
              <w:left w:val="single" w:sz="8" w:space="0" w:color="000000"/>
              <w:bottom w:val="dashed" w:sz="8" w:space="0" w:color="000000"/>
              <w:right w:val="single" w:sz="8" w:space="0" w:color="000000"/>
            </w:tcBorders>
            <w:vAlign w:val="center"/>
            <w:hideMark/>
          </w:tcPr>
          <w:p w14:paraId="47A28B5F" w14:textId="77777777" w:rsidR="00E0373F" w:rsidRPr="00E0373F" w:rsidRDefault="00E0373F" w:rsidP="00E0373F">
            <w:pPr>
              <w:spacing w:after="0" w:line="240" w:lineRule="auto"/>
              <w:jc w:val="center"/>
              <w:rPr>
                <w:rFonts w:ascii="Verdana" w:hAnsi="Verdana"/>
                <w:color w:val="000000"/>
                <w:sz w:val="16"/>
                <w:szCs w:val="16"/>
              </w:rPr>
            </w:pPr>
            <w:r w:rsidRPr="00E0373F">
              <w:rPr>
                <w:rFonts w:ascii="Verdana" w:hAnsi="Verdana"/>
                <w:color w:val="000000"/>
                <w:sz w:val="16"/>
                <w:szCs w:val="16"/>
              </w:rPr>
              <w:t xml:space="preserve">Total Population </w:t>
            </w:r>
          </w:p>
        </w:tc>
        <w:tc>
          <w:tcPr>
            <w:tcW w:w="1380" w:type="dxa"/>
            <w:vMerge w:val="restart"/>
            <w:tcBorders>
              <w:top w:val="single" w:sz="8" w:space="0" w:color="000000"/>
              <w:left w:val="single" w:sz="8" w:space="0" w:color="000000"/>
              <w:bottom w:val="dashed" w:sz="8" w:space="0" w:color="000000"/>
              <w:right w:val="single" w:sz="8" w:space="0" w:color="000000"/>
            </w:tcBorders>
            <w:vAlign w:val="center"/>
            <w:hideMark/>
          </w:tcPr>
          <w:p w14:paraId="41C9840B" w14:textId="77777777" w:rsidR="00E0373F" w:rsidRPr="00E0373F" w:rsidRDefault="00E0373F" w:rsidP="00E0373F">
            <w:pPr>
              <w:spacing w:after="0" w:line="240" w:lineRule="auto"/>
              <w:jc w:val="center"/>
              <w:rPr>
                <w:rFonts w:ascii="Verdana" w:hAnsi="Verdana"/>
                <w:sz w:val="16"/>
                <w:szCs w:val="16"/>
              </w:rPr>
            </w:pPr>
            <w:r w:rsidRPr="00E0373F">
              <w:rPr>
                <w:rFonts w:ascii="Verdana" w:hAnsi="Verdana"/>
                <w:sz w:val="16"/>
                <w:szCs w:val="16"/>
              </w:rPr>
              <w:t>CARE MATCH Count</w:t>
            </w:r>
          </w:p>
        </w:tc>
        <w:tc>
          <w:tcPr>
            <w:tcW w:w="1380" w:type="dxa"/>
            <w:vMerge w:val="restart"/>
            <w:tcBorders>
              <w:top w:val="single" w:sz="8" w:space="0" w:color="000000"/>
              <w:left w:val="single" w:sz="8" w:space="0" w:color="000000"/>
              <w:bottom w:val="dashed" w:sz="8" w:space="0" w:color="000000"/>
              <w:right w:val="single" w:sz="8" w:space="0" w:color="000000"/>
            </w:tcBorders>
            <w:vAlign w:val="center"/>
            <w:hideMark/>
          </w:tcPr>
          <w:p w14:paraId="6ADB6D3D" w14:textId="77777777" w:rsidR="00E0373F" w:rsidRPr="00E0373F" w:rsidRDefault="00E0373F" w:rsidP="00E0373F">
            <w:pPr>
              <w:spacing w:after="0" w:line="240" w:lineRule="auto"/>
              <w:jc w:val="center"/>
              <w:rPr>
                <w:rFonts w:ascii="Verdana" w:hAnsi="Verdana"/>
                <w:color w:val="000000"/>
                <w:sz w:val="16"/>
                <w:szCs w:val="16"/>
              </w:rPr>
            </w:pPr>
            <w:r w:rsidRPr="00E0373F">
              <w:rPr>
                <w:rFonts w:ascii="Verdana" w:hAnsi="Verdana"/>
                <w:color w:val="000000"/>
                <w:sz w:val="16"/>
                <w:szCs w:val="16"/>
              </w:rPr>
              <w:t xml:space="preserve">% of Population </w:t>
            </w:r>
          </w:p>
        </w:tc>
        <w:tc>
          <w:tcPr>
            <w:tcW w:w="1380" w:type="dxa"/>
            <w:vMerge w:val="restart"/>
            <w:tcBorders>
              <w:top w:val="single" w:sz="8" w:space="0" w:color="000000"/>
              <w:left w:val="nil"/>
              <w:right w:val="single" w:sz="8" w:space="0" w:color="000000"/>
            </w:tcBorders>
            <w:vAlign w:val="center"/>
            <w:hideMark/>
          </w:tcPr>
          <w:p w14:paraId="7145FA10" w14:textId="77777777" w:rsidR="00E0373F" w:rsidRPr="00E0373F" w:rsidRDefault="00E0373F" w:rsidP="00E0373F">
            <w:pPr>
              <w:spacing w:after="0" w:line="240" w:lineRule="auto"/>
              <w:jc w:val="center"/>
              <w:rPr>
                <w:rFonts w:ascii="Verdana" w:hAnsi="Verdana"/>
                <w:sz w:val="16"/>
                <w:szCs w:val="16"/>
              </w:rPr>
            </w:pPr>
            <w:r w:rsidRPr="00E0373F">
              <w:rPr>
                <w:rFonts w:ascii="Verdana" w:hAnsi="Verdana"/>
                <w:sz w:val="16"/>
                <w:szCs w:val="16"/>
              </w:rPr>
              <w:t>Target Group</w:t>
            </w:r>
          </w:p>
          <w:p w14:paraId="7EFAB5CB" w14:textId="24971FD1" w:rsidR="00E0373F" w:rsidRPr="00E0373F" w:rsidRDefault="00E0373F" w:rsidP="00E0373F">
            <w:pPr>
              <w:spacing w:after="0" w:line="240" w:lineRule="auto"/>
              <w:jc w:val="center"/>
              <w:rPr>
                <w:rFonts w:ascii="Verdana" w:hAnsi="Verdana"/>
                <w:sz w:val="16"/>
                <w:szCs w:val="16"/>
              </w:rPr>
            </w:pPr>
            <w:r w:rsidRPr="00E0373F">
              <w:rPr>
                <w:rFonts w:ascii="Verdana" w:hAnsi="Verdana"/>
                <w:sz w:val="16"/>
                <w:szCs w:val="16"/>
              </w:rPr>
              <w:t>Count</w:t>
            </w:r>
          </w:p>
        </w:tc>
        <w:tc>
          <w:tcPr>
            <w:tcW w:w="1380" w:type="dxa"/>
            <w:vMerge w:val="restart"/>
            <w:tcBorders>
              <w:top w:val="single" w:sz="8" w:space="0" w:color="000000"/>
              <w:left w:val="single" w:sz="8" w:space="0" w:color="000000"/>
              <w:bottom w:val="dashed" w:sz="8" w:space="0" w:color="000000"/>
              <w:right w:val="single" w:sz="8" w:space="0" w:color="000000"/>
            </w:tcBorders>
            <w:vAlign w:val="center"/>
            <w:hideMark/>
          </w:tcPr>
          <w:p w14:paraId="731D17AA" w14:textId="77777777" w:rsidR="00E0373F" w:rsidRPr="00E0373F" w:rsidRDefault="00E0373F" w:rsidP="00E0373F">
            <w:pPr>
              <w:spacing w:after="0" w:line="240" w:lineRule="auto"/>
              <w:jc w:val="center"/>
              <w:rPr>
                <w:rFonts w:ascii="Verdana" w:hAnsi="Verdana"/>
                <w:color w:val="000000"/>
                <w:sz w:val="16"/>
                <w:szCs w:val="16"/>
              </w:rPr>
            </w:pPr>
            <w:r w:rsidRPr="00E0373F">
              <w:rPr>
                <w:rFonts w:ascii="Verdana" w:hAnsi="Verdana"/>
                <w:color w:val="000000"/>
                <w:sz w:val="16"/>
                <w:szCs w:val="16"/>
              </w:rPr>
              <w:t xml:space="preserve">% of Population </w:t>
            </w:r>
          </w:p>
        </w:tc>
      </w:tr>
      <w:tr w:rsidR="00E0373F" w:rsidRPr="00E96DBC" w14:paraId="3DE18FBE" w14:textId="77777777" w:rsidTr="004D5C46">
        <w:trPr>
          <w:trHeight w:val="480"/>
        </w:trPr>
        <w:tc>
          <w:tcPr>
            <w:tcW w:w="2120" w:type="dxa"/>
            <w:tcBorders>
              <w:top w:val="nil"/>
              <w:left w:val="nil"/>
              <w:bottom w:val="single" w:sz="8" w:space="0" w:color="000000"/>
              <w:right w:val="single" w:sz="8" w:space="0" w:color="000000"/>
            </w:tcBorders>
            <w:shd w:val="clear" w:color="000000" w:fill="FFFFFF"/>
            <w:noWrap/>
            <w:vAlign w:val="bottom"/>
            <w:hideMark/>
          </w:tcPr>
          <w:p w14:paraId="341EA5AA" w14:textId="77777777" w:rsidR="00E0373F" w:rsidRPr="00E0373F" w:rsidRDefault="00E0373F" w:rsidP="00E0373F">
            <w:pPr>
              <w:spacing w:after="0" w:line="240" w:lineRule="auto"/>
              <w:rPr>
                <w:rFonts w:ascii="Verdana" w:hAnsi="Verdana" w:cs="Arial"/>
                <w:sz w:val="16"/>
                <w:szCs w:val="16"/>
              </w:rPr>
            </w:pPr>
            <w:r w:rsidRPr="00E0373F">
              <w:rPr>
                <w:rFonts w:ascii="Verdana" w:hAnsi="Verdana" w:cs="Arial"/>
                <w:sz w:val="16"/>
                <w:szCs w:val="16"/>
              </w:rPr>
              <w:t> </w:t>
            </w:r>
          </w:p>
        </w:tc>
        <w:tc>
          <w:tcPr>
            <w:tcW w:w="1380" w:type="dxa"/>
            <w:vMerge/>
            <w:tcBorders>
              <w:top w:val="single" w:sz="8" w:space="0" w:color="000000"/>
              <w:left w:val="single" w:sz="8" w:space="0" w:color="000000"/>
              <w:bottom w:val="dashed" w:sz="8" w:space="0" w:color="000000"/>
              <w:right w:val="single" w:sz="8" w:space="0" w:color="000000"/>
            </w:tcBorders>
            <w:vAlign w:val="center"/>
            <w:hideMark/>
          </w:tcPr>
          <w:p w14:paraId="16C64486" w14:textId="77777777" w:rsidR="00E0373F" w:rsidRPr="00E0373F" w:rsidRDefault="00E0373F" w:rsidP="00E0373F">
            <w:pPr>
              <w:spacing w:after="0" w:line="240" w:lineRule="auto"/>
              <w:rPr>
                <w:rFonts w:ascii="Verdana" w:hAnsi="Verdana"/>
                <w:color w:val="000000"/>
                <w:sz w:val="16"/>
                <w:szCs w:val="16"/>
              </w:rPr>
            </w:pPr>
          </w:p>
        </w:tc>
        <w:tc>
          <w:tcPr>
            <w:tcW w:w="1380" w:type="dxa"/>
            <w:vMerge/>
            <w:tcBorders>
              <w:top w:val="single" w:sz="8" w:space="0" w:color="000000"/>
              <w:left w:val="single" w:sz="8" w:space="0" w:color="000000"/>
              <w:bottom w:val="dashed" w:sz="8" w:space="0" w:color="000000"/>
              <w:right w:val="single" w:sz="8" w:space="0" w:color="000000"/>
            </w:tcBorders>
            <w:vAlign w:val="center"/>
            <w:hideMark/>
          </w:tcPr>
          <w:p w14:paraId="4F3F9362" w14:textId="77777777" w:rsidR="00E0373F" w:rsidRPr="00E0373F" w:rsidRDefault="00E0373F" w:rsidP="00E0373F">
            <w:pPr>
              <w:spacing w:after="0" w:line="240" w:lineRule="auto"/>
              <w:rPr>
                <w:rFonts w:ascii="Verdana" w:hAnsi="Verdana"/>
                <w:sz w:val="16"/>
                <w:szCs w:val="16"/>
              </w:rPr>
            </w:pPr>
          </w:p>
        </w:tc>
        <w:tc>
          <w:tcPr>
            <w:tcW w:w="1380" w:type="dxa"/>
            <w:vMerge/>
            <w:tcBorders>
              <w:top w:val="single" w:sz="8" w:space="0" w:color="000000"/>
              <w:left w:val="single" w:sz="8" w:space="0" w:color="000000"/>
              <w:bottom w:val="dashed" w:sz="8" w:space="0" w:color="000000"/>
              <w:right w:val="single" w:sz="8" w:space="0" w:color="000000"/>
            </w:tcBorders>
            <w:vAlign w:val="center"/>
            <w:hideMark/>
          </w:tcPr>
          <w:p w14:paraId="5505F41C" w14:textId="77777777" w:rsidR="00E0373F" w:rsidRPr="00E0373F" w:rsidRDefault="00E0373F" w:rsidP="00E0373F">
            <w:pPr>
              <w:spacing w:after="0" w:line="240" w:lineRule="auto"/>
              <w:rPr>
                <w:rFonts w:ascii="Verdana" w:hAnsi="Verdana"/>
                <w:color w:val="000000"/>
                <w:sz w:val="16"/>
                <w:szCs w:val="16"/>
              </w:rPr>
            </w:pPr>
          </w:p>
        </w:tc>
        <w:tc>
          <w:tcPr>
            <w:tcW w:w="1380" w:type="dxa"/>
            <w:vMerge/>
            <w:tcBorders>
              <w:left w:val="nil"/>
              <w:bottom w:val="dashed" w:sz="8" w:space="0" w:color="000000"/>
              <w:right w:val="single" w:sz="8" w:space="0" w:color="000000"/>
            </w:tcBorders>
            <w:vAlign w:val="center"/>
            <w:hideMark/>
          </w:tcPr>
          <w:p w14:paraId="6072CA62" w14:textId="116881BD" w:rsidR="00E0373F" w:rsidRPr="00E0373F" w:rsidRDefault="00E0373F" w:rsidP="00E0373F">
            <w:pPr>
              <w:spacing w:after="0" w:line="240" w:lineRule="auto"/>
              <w:jc w:val="center"/>
              <w:rPr>
                <w:rFonts w:ascii="Verdana" w:hAnsi="Verdana"/>
                <w:sz w:val="16"/>
                <w:szCs w:val="16"/>
              </w:rPr>
            </w:pPr>
          </w:p>
        </w:tc>
        <w:tc>
          <w:tcPr>
            <w:tcW w:w="1380" w:type="dxa"/>
            <w:vMerge/>
            <w:tcBorders>
              <w:top w:val="single" w:sz="8" w:space="0" w:color="000000"/>
              <w:left w:val="single" w:sz="8" w:space="0" w:color="000000"/>
              <w:bottom w:val="dashed" w:sz="8" w:space="0" w:color="000000"/>
              <w:right w:val="single" w:sz="8" w:space="0" w:color="000000"/>
            </w:tcBorders>
            <w:vAlign w:val="center"/>
            <w:hideMark/>
          </w:tcPr>
          <w:p w14:paraId="2ECB073E" w14:textId="77777777" w:rsidR="00E0373F" w:rsidRPr="00E0373F" w:rsidRDefault="00E0373F" w:rsidP="00E0373F">
            <w:pPr>
              <w:spacing w:after="0" w:line="240" w:lineRule="auto"/>
              <w:rPr>
                <w:rFonts w:ascii="Verdana" w:hAnsi="Verdana"/>
                <w:color w:val="000000"/>
                <w:sz w:val="16"/>
                <w:szCs w:val="16"/>
              </w:rPr>
            </w:pPr>
          </w:p>
        </w:tc>
      </w:tr>
      <w:tr w:rsidR="00E0373F" w:rsidRPr="00E96DBC" w14:paraId="6A3A357C" w14:textId="77777777" w:rsidTr="00E7657C">
        <w:trPr>
          <w:trHeight w:val="315"/>
        </w:trPr>
        <w:tc>
          <w:tcPr>
            <w:tcW w:w="2120" w:type="dxa"/>
            <w:tcBorders>
              <w:top w:val="nil"/>
              <w:left w:val="single" w:sz="8" w:space="0" w:color="000000"/>
              <w:bottom w:val="dashed" w:sz="8" w:space="0" w:color="000000"/>
              <w:right w:val="single" w:sz="8" w:space="0" w:color="000000"/>
            </w:tcBorders>
            <w:vAlign w:val="center"/>
            <w:hideMark/>
          </w:tcPr>
          <w:p w14:paraId="11544B09" w14:textId="77777777" w:rsidR="00E0373F" w:rsidRPr="00E0373F" w:rsidRDefault="00E0373F" w:rsidP="00E0373F">
            <w:pPr>
              <w:spacing w:after="0" w:line="240" w:lineRule="auto"/>
              <w:ind w:firstLineChars="100" w:firstLine="161"/>
              <w:rPr>
                <w:rFonts w:ascii="Verdana" w:hAnsi="Verdana"/>
                <w:b/>
                <w:bCs/>
                <w:color w:val="000000"/>
                <w:sz w:val="16"/>
                <w:szCs w:val="16"/>
              </w:rPr>
            </w:pPr>
            <w:r w:rsidRPr="00E0373F">
              <w:rPr>
                <w:rFonts w:ascii="Verdana" w:hAnsi="Verdana"/>
                <w:b/>
                <w:bCs/>
                <w:color w:val="000000"/>
                <w:sz w:val="16"/>
                <w:szCs w:val="16"/>
              </w:rPr>
              <w:t>Total Parole</w:t>
            </w:r>
          </w:p>
        </w:tc>
        <w:tc>
          <w:tcPr>
            <w:tcW w:w="1380" w:type="dxa"/>
            <w:tcBorders>
              <w:top w:val="nil"/>
              <w:left w:val="nil"/>
              <w:bottom w:val="dashed" w:sz="8" w:space="0" w:color="000000"/>
              <w:right w:val="single" w:sz="8" w:space="0" w:color="000000"/>
            </w:tcBorders>
            <w:vAlign w:val="center"/>
            <w:hideMark/>
          </w:tcPr>
          <w:p w14:paraId="69CF5808" w14:textId="77777777" w:rsidR="00E0373F" w:rsidRPr="00E0373F" w:rsidRDefault="00E0373F" w:rsidP="00E0373F">
            <w:pPr>
              <w:spacing w:after="0" w:line="240" w:lineRule="auto"/>
              <w:jc w:val="center"/>
              <w:rPr>
                <w:rFonts w:ascii="Verdana" w:hAnsi="Verdana"/>
                <w:b/>
                <w:bCs/>
                <w:color w:val="000000"/>
                <w:sz w:val="16"/>
                <w:szCs w:val="16"/>
              </w:rPr>
            </w:pPr>
            <w:r w:rsidRPr="00E0373F">
              <w:rPr>
                <w:rFonts w:ascii="Verdana" w:hAnsi="Verdana"/>
                <w:b/>
                <w:bCs/>
                <w:color w:val="000000"/>
                <w:sz w:val="16"/>
                <w:szCs w:val="16"/>
              </w:rPr>
              <w:t>75,241</w:t>
            </w:r>
          </w:p>
        </w:tc>
        <w:tc>
          <w:tcPr>
            <w:tcW w:w="1380" w:type="dxa"/>
            <w:tcBorders>
              <w:top w:val="nil"/>
              <w:left w:val="nil"/>
              <w:bottom w:val="dashed" w:sz="8" w:space="0" w:color="000000"/>
              <w:right w:val="single" w:sz="8" w:space="0" w:color="000000"/>
            </w:tcBorders>
            <w:vAlign w:val="center"/>
            <w:hideMark/>
          </w:tcPr>
          <w:p w14:paraId="52711AD9" w14:textId="77777777" w:rsidR="00E0373F" w:rsidRPr="00E0373F" w:rsidRDefault="00E0373F" w:rsidP="00E0373F">
            <w:pPr>
              <w:spacing w:after="0" w:line="240" w:lineRule="auto"/>
              <w:jc w:val="center"/>
              <w:rPr>
                <w:rFonts w:ascii="Verdana" w:hAnsi="Verdana"/>
                <w:b/>
                <w:bCs/>
                <w:color w:val="000000"/>
                <w:sz w:val="16"/>
                <w:szCs w:val="16"/>
              </w:rPr>
            </w:pPr>
            <w:r w:rsidRPr="00E0373F">
              <w:rPr>
                <w:rFonts w:ascii="Verdana" w:hAnsi="Verdana"/>
                <w:b/>
                <w:bCs/>
                <w:color w:val="000000"/>
                <w:sz w:val="16"/>
                <w:szCs w:val="16"/>
              </w:rPr>
              <w:t>28,135</w:t>
            </w:r>
          </w:p>
        </w:tc>
        <w:tc>
          <w:tcPr>
            <w:tcW w:w="1380" w:type="dxa"/>
            <w:tcBorders>
              <w:top w:val="nil"/>
              <w:left w:val="nil"/>
              <w:bottom w:val="dashed" w:sz="8" w:space="0" w:color="000000"/>
              <w:right w:val="single" w:sz="8" w:space="0" w:color="000000"/>
            </w:tcBorders>
            <w:vAlign w:val="center"/>
            <w:hideMark/>
          </w:tcPr>
          <w:p w14:paraId="581FDEE8" w14:textId="77777777" w:rsidR="00E0373F" w:rsidRPr="00E0373F" w:rsidRDefault="00E0373F" w:rsidP="00E0373F">
            <w:pPr>
              <w:spacing w:after="0" w:line="240" w:lineRule="auto"/>
              <w:jc w:val="center"/>
              <w:rPr>
                <w:rFonts w:ascii="Verdana" w:hAnsi="Verdana"/>
                <w:b/>
                <w:bCs/>
                <w:sz w:val="16"/>
                <w:szCs w:val="16"/>
              </w:rPr>
            </w:pPr>
            <w:r w:rsidRPr="00E0373F">
              <w:rPr>
                <w:rFonts w:ascii="Verdana" w:hAnsi="Verdana"/>
                <w:b/>
                <w:bCs/>
                <w:sz w:val="16"/>
                <w:szCs w:val="16"/>
              </w:rPr>
              <w:t>37.39%</w:t>
            </w:r>
          </w:p>
        </w:tc>
        <w:tc>
          <w:tcPr>
            <w:tcW w:w="1380" w:type="dxa"/>
            <w:tcBorders>
              <w:top w:val="nil"/>
              <w:left w:val="nil"/>
              <w:bottom w:val="dashed" w:sz="8" w:space="0" w:color="000000"/>
              <w:right w:val="single" w:sz="8" w:space="0" w:color="000000"/>
            </w:tcBorders>
            <w:vAlign w:val="center"/>
            <w:hideMark/>
          </w:tcPr>
          <w:p w14:paraId="59B74F95" w14:textId="77777777" w:rsidR="00E0373F" w:rsidRPr="00E0373F" w:rsidRDefault="00E0373F" w:rsidP="00E0373F">
            <w:pPr>
              <w:spacing w:after="0" w:line="240" w:lineRule="auto"/>
              <w:jc w:val="center"/>
              <w:rPr>
                <w:rFonts w:ascii="Verdana" w:hAnsi="Verdana"/>
                <w:b/>
                <w:bCs/>
                <w:color w:val="000000"/>
                <w:sz w:val="16"/>
                <w:szCs w:val="16"/>
              </w:rPr>
            </w:pPr>
            <w:r w:rsidRPr="00E0373F">
              <w:rPr>
                <w:rFonts w:ascii="Verdana" w:hAnsi="Verdana"/>
                <w:b/>
                <w:bCs/>
                <w:color w:val="000000"/>
                <w:sz w:val="16"/>
                <w:szCs w:val="16"/>
              </w:rPr>
              <w:t>3,186</w:t>
            </w:r>
          </w:p>
        </w:tc>
        <w:tc>
          <w:tcPr>
            <w:tcW w:w="1380" w:type="dxa"/>
            <w:tcBorders>
              <w:top w:val="nil"/>
              <w:left w:val="nil"/>
              <w:bottom w:val="dashed" w:sz="8" w:space="0" w:color="000000"/>
              <w:right w:val="single" w:sz="8" w:space="0" w:color="000000"/>
            </w:tcBorders>
            <w:vAlign w:val="center"/>
            <w:hideMark/>
          </w:tcPr>
          <w:p w14:paraId="6874F725" w14:textId="77777777" w:rsidR="00E0373F" w:rsidRPr="00E0373F" w:rsidRDefault="00E0373F" w:rsidP="00E0373F">
            <w:pPr>
              <w:spacing w:after="0" w:line="240" w:lineRule="auto"/>
              <w:jc w:val="center"/>
              <w:rPr>
                <w:rFonts w:ascii="Verdana" w:hAnsi="Verdana"/>
                <w:b/>
                <w:bCs/>
                <w:sz w:val="16"/>
                <w:szCs w:val="16"/>
              </w:rPr>
            </w:pPr>
            <w:r w:rsidRPr="00E0373F">
              <w:rPr>
                <w:rFonts w:ascii="Verdana" w:hAnsi="Verdana"/>
                <w:b/>
                <w:bCs/>
                <w:sz w:val="16"/>
                <w:szCs w:val="16"/>
              </w:rPr>
              <w:t>4.23%</w:t>
            </w:r>
          </w:p>
        </w:tc>
      </w:tr>
      <w:tr w:rsidR="00E0373F" w:rsidRPr="00E96DBC" w14:paraId="038EE835" w14:textId="77777777" w:rsidTr="00E0373F">
        <w:trPr>
          <w:trHeight w:val="106"/>
        </w:trPr>
        <w:tc>
          <w:tcPr>
            <w:tcW w:w="2120" w:type="dxa"/>
            <w:tcBorders>
              <w:top w:val="nil"/>
              <w:left w:val="single" w:sz="8" w:space="0" w:color="000000"/>
              <w:bottom w:val="dashed" w:sz="8" w:space="0" w:color="000000"/>
              <w:right w:val="single" w:sz="8" w:space="0" w:color="000000"/>
            </w:tcBorders>
            <w:shd w:val="clear" w:color="auto" w:fill="002060"/>
            <w:hideMark/>
          </w:tcPr>
          <w:p w14:paraId="5622B73A" w14:textId="77777777" w:rsidR="00E0373F" w:rsidRPr="00E0373F" w:rsidRDefault="00E0373F" w:rsidP="00E0373F">
            <w:pPr>
              <w:spacing w:after="0" w:line="240" w:lineRule="auto"/>
              <w:ind w:firstLineChars="100" w:firstLine="160"/>
              <w:rPr>
                <w:rFonts w:ascii="Verdana" w:hAnsi="Verdana" w:cs="Arial"/>
                <w:sz w:val="16"/>
                <w:szCs w:val="16"/>
              </w:rPr>
            </w:pPr>
            <w:r w:rsidRPr="00E0373F">
              <w:rPr>
                <w:rFonts w:ascii="Verdana" w:hAnsi="Verdana" w:cs="Arial"/>
                <w:sz w:val="16"/>
                <w:szCs w:val="16"/>
              </w:rPr>
              <w:t> </w:t>
            </w:r>
          </w:p>
        </w:tc>
        <w:tc>
          <w:tcPr>
            <w:tcW w:w="1380" w:type="dxa"/>
            <w:tcBorders>
              <w:top w:val="nil"/>
              <w:left w:val="nil"/>
              <w:bottom w:val="dashed" w:sz="8" w:space="0" w:color="000000"/>
              <w:right w:val="single" w:sz="8" w:space="0" w:color="000000"/>
            </w:tcBorders>
            <w:shd w:val="clear" w:color="auto" w:fill="002060"/>
            <w:hideMark/>
          </w:tcPr>
          <w:p w14:paraId="0CDC1C77" w14:textId="77777777" w:rsidR="00E0373F" w:rsidRPr="00E0373F" w:rsidRDefault="00E0373F" w:rsidP="00E0373F">
            <w:pPr>
              <w:spacing w:after="0" w:line="240" w:lineRule="auto"/>
              <w:ind w:firstLineChars="100" w:firstLine="160"/>
              <w:rPr>
                <w:rFonts w:ascii="Verdana" w:hAnsi="Verdana" w:cs="Arial"/>
                <w:color w:val="FF0000"/>
                <w:sz w:val="16"/>
                <w:szCs w:val="16"/>
              </w:rPr>
            </w:pPr>
            <w:r w:rsidRPr="00E0373F">
              <w:rPr>
                <w:rFonts w:ascii="Verdana" w:hAnsi="Verdana" w:cs="Arial"/>
                <w:color w:val="FF0000"/>
                <w:sz w:val="16"/>
                <w:szCs w:val="16"/>
              </w:rPr>
              <w:t> </w:t>
            </w:r>
          </w:p>
        </w:tc>
        <w:tc>
          <w:tcPr>
            <w:tcW w:w="1380" w:type="dxa"/>
            <w:tcBorders>
              <w:top w:val="nil"/>
              <w:left w:val="nil"/>
              <w:bottom w:val="dashed" w:sz="8" w:space="0" w:color="000000"/>
              <w:right w:val="single" w:sz="8" w:space="0" w:color="000000"/>
            </w:tcBorders>
            <w:shd w:val="clear" w:color="auto" w:fill="002060"/>
            <w:hideMark/>
          </w:tcPr>
          <w:p w14:paraId="733CC663" w14:textId="77777777" w:rsidR="00E0373F" w:rsidRPr="00E0373F" w:rsidRDefault="00E0373F" w:rsidP="00E0373F">
            <w:pPr>
              <w:spacing w:after="0" w:line="240" w:lineRule="auto"/>
              <w:ind w:firstLineChars="100" w:firstLine="160"/>
              <w:rPr>
                <w:rFonts w:ascii="Verdana" w:hAnsi="Verdana" w:cs="Calibri"/>
                <w:sz w:val="16"/>
                <w:szCs w:val="16"/>
              </w:rPr>
            </w:pPr>
            <w:r w:rsidRPr="00E0373F">
              <w:rPr>
                <w:rFonts w:ascii="Verdana" w:hAnsi="Verdana" w:cs="Calibri"/>
                <w:sz w:val="16"/>
                <w:szCs w:val="16"/>
              </w:rPr>
              <w:t> </w:t>
            </w:r>
          </w:p>
        </w:tc>
        <w:tc>
          <w:tcPr>
            <w:tcW w:w="1380" w:type="dxa"/>
            <w:tcBorders>
              <w:top w:val="nil"/>
              <w:left w:val="nil"/>
              <w:bottom w:val="dashed" w:sz="8" w:space="0" w:color="000000"/>
              <w:right w:val="single" w:sz="8" w:space="0" w:color="000000"/>
            </w:tcBorders>
            <w:shd w:val="clear" w:color="auto" w:fill="002060"/>
            <w:hideMark/>
          </w:tcPr>
          <w:p w14:paraId="7D93B6E7" w14:textId="77777777" w:rsidR="00E0373F" w:rsidRPr="00E0373F" w:rsidRDefault="00E0373F" w:rsidP="00E0373F">
            <w:pPr>
              <w:spacing w:after="0" w:line="240" w:lineRule="auto"/>
              <w:ind w:firstLineChars="100" w:firstLine="160"/>
              <w:rPr>
                <w:rFonts w:ascii="Verdana" w:hAnsi="Verdana" w:cs="Arial"/>
                <w:sz w:val="16"/>
                <w:szCs w:val="16"/>
              </w:rPr>
            </w:pPr>
            <w:r w:rsidRPr="00E0373F">
              <w:rPr>
                <w:rFonts w:ascii="Verdana" w:hAnsi="Verdana" w:cs="Arial"/>
                <w:sz w:val="16"/>
                <w:szCs w:val="16"/>
              </w:rPr>
              <w:t> </w:t>
            </w:r>
          </w:p>
        </w:tc>
        <w:tc>
          <w:tcPr>
            <w:tcW w:w="1380" w:type="dxa"/>
            <w:tcBorders>
              <w:top w:val="nil"/>
              <w:left w:val="nil"/>
              <w:bottom w:val="dashed" w:sz="8" w:space="0" w:color="000000"/>
              <w:right w:val="single" w:sz="8" w:space="0" w:color="000000"/>
            </w:tcBorders>
            <w:shd w:val="clear" w:color="auto" w:fill="002060"/>
            <w:hideMark/>
          </w:tcPr>
          <w:p w14:paraId="26DCAE56" w14:textId="77777777" w:rsidR="00E0373F" w:rsidRPr="00E0373F" w:rsidRDefault="00E0373F" w:rsidP="00E0373F">
            <w:pPr>
              <w:spacing w:after="0" w:line="240" w:lineRule="auto"/>
              <w:ind w:firstLineChars="100" w:firstLine="160"/>
              <w:rPr>
                <w:rFonts w:ascii="Verdana" w:hAnsi="Verdana" w:cs="Calibri"/>
                <w:color w:val="FF0000"/>
                <w:sz w:val="16"/>
                <w:szCs w:val="16"/>
              </w:rPr>
            </w:pPr>
            <w:r w:rsidRPr="00E0373F">
              <w:rPr>
                <w:rFonts w:ascii="Verdana" w:hAnsi="Verdana" w:cs="Calibri"/>
                <w:color w:val="FF0000"/>
                <w:sz w:val="16"/>
                <w:szCs w:val="16"/>
              </w:rPr>
              <w:t> </w:t>
            </w:r>
          </w:p>
        </w:tc>
        <w:tc>
          <w:tcPr>
            <w:tcW w:w="1380" w:type="dxa"/>
            <w:tcBorders>
              <w:top w:val="nil"/>
              <w:left w:val="nil"/>
              <w:bottom w:val="dashed" w:sz="8" w:space="0" w:color="000000"/>
              <w:right w:val="single" w:sz="8" w:space="0" w:color="000000"/>
            </w:tcBorders>
            <w:shd w:val="clear" w:color="auto" w:fill="002060"/>
            <w:hideMark/>
          </w:tcPr>
          <w:p w14:paraId="7B18DACD" w14:textId="77777777" w:rsidR="00E0373F" w:rsidRPr="00E0373F" w:rsidRDefault="00E0373F" w:rsidP="00E0373F">
            <w:pPr>
              <w:spacing w:after="0" w:line="240" w:lineRule="auto"/>
              <w:ind w:firstLineChars="100" w:firstLine="160"/>
              <w:rPr>
                <w:rFonts w:ascii="Verdana" w:hAnsi="Verdana" w:cs="Arial"/>
                <w:sz w:val="16"/>
                <w:szCs w:val="16"/>
              </w:rPr>
            </w:pPr>
            <w:r w:rsidRPr="00E0373F">
              <w:rPr>
                <w:rFonts w:ascii="Verdana" w:hAnsi="Verdana" w:cs="Arial"/>
                <w:sz w:val="16"/>
                <w:szCs w:val="16"/>
              </w:rPr>
              <w:t> </w:t>
            </w:r>
          </w:p>
        </w:tc>
      </w:tr>
      <w:tr w:rsidR="00E0373F" w:rsidRPr="00E96DBC" w14:paraId="13B90672" w14:textId="77777777" w:rsidTr="00E7657C">
        <w:trPr>
          <w:trHeight w:val="315"/>
        </w:trPr>
        <w:tc>
          <w:tcPr>
            <w:tcW w:w="2120" w:type="dxa"/>
            <w:tcBorders>
              <w:top w:val="nil"/>
              <w:left w:val="single" w:sz="8" w:space="0" w:color="000000"/>
              <w:bottom w:val="dashed" w:sz="8" w:space="0" w:color="000000"/>
              <w:right w:val="single" w:sz="8" w:space="0" w:color="000000"/>
            </w:tcBorders>
            <w:vAlign w:val="center"/>
            <w:hideMark/>
          </w:tcPr>
          <w:p w14:paraId="1C6EE4F1" w14:textId="77777777" w:rsidR="00E0373F" w:rsidRPr="00E0373F" w:rsidRDefault="00E0373F" w:rsidP="00E0373F">
            <w:pPr>
              <w:spacing w:after="0" w:line="240" w:lineRule="auto"/>
              <w:ind w:firstLineChars="100" w:firstLine="161"/>
              <w:rPr>
                <w:rFonts w:ascii="Verdana" w:hAnsi="Verdana"/>
                <w:b/>
                <w:bCs/>
                <w:color w:val="000000"/>
                <w:sz w:val="16"/>
                <w:szCs w:val="16"/>
              </w:rPr>
            </w:pPr>
            <w:r w:rsidRPr="00E0373F">
              <w:rPr>
                <w:rFonts w:ascii="Verdana" w:hAnsi="Verdana"/>
                <w:b/>
                <w:bCs/>
                <w:color w:val="000000"/>
                <w:sz w:val="16"/>
                <w:szCs w:val="16"/>
              </w:rPr>
              <w:t>Total Probation</w:t>
            </w:r>
          </w:p>
        </w:tc>
        <w:tc>
          <w:tcPr>
            <w:tcW w:w="1380" w:type="dxa"/>
            <w:tcBorders>
              <w:top w:val="nil"/>
              <w:left w:val="nil"/>
              <w:bottom w:val="dashed" w:sz="8" w:space="0" w:color="000000"/>
              <w:right w:val="single" w:sz="8" w:space="0" w:color="000000"/>
            </w:tcBorders>
            <w:vAlign w:val="center"/>
            <w:hideMark/>
          </w:tcPr>
          <w:p w14:paraId="6551A10E" w14:textId="77777777" w:rsidR="00E0373F" w:rsidRPr="00E0373F" w:rsidRDefault="00E0373F" w:rsidP="00E0373F">
            <w:pPr>
              <w:spacing w:after="0" w:line="240" w:lineRule="auto"/>
              <w:jc w:val="center"/>
              <w:rPr>
                <w:rFonts w:ascii="Verdana" w:hAnsi="Verdana"/>
                <w:b/>
                <w:bCs/>
                <w:color w:val="000000"/>
                <w:sz w:val="16"/>
                <w:szCs w:val="16"/>
              </w:rPr>
            </w:pPr>
            <w:r w:rsidRPr="00E0373F">
              <w:rPr>
                <w:rFonts w:ascii="Verdana" w:hAnsi="Verdana"/>
                <w:b/>
                <w:bCs/>
                <w:color w:val="000000"/>
                <w:sz w:val="16"/>
                <w:szCs w:val="16"/>
              </w:rPr>
              <w:t>383,070</w:t>
            </w:r>
          </w:p>
        </w:tc>
        <w:tc>
          <w:tcPr>
            <w:tcW w:w="1380" w:type="dxa"/>
            <w:tcBorders>
              <w:top w:val="nil"/>
              <w:left w:val="nil"/>
              <w:bottom w:val="dashed" w:sz="8" w:space="0" w:color="000000"/>
              <w:right w:val="single" w:sz="8" w:space="0" w:color="000000"/>
            </w:tcBorders>
            <w:vAlign w:val="center"/>
            <w:hideMark/>
          </w:tcPr>
          <w:p w14:paraId="079C7613" w14:textId="77777777" w:rsidR="00E0373F" w:rsidRPr="00E0373F" w:rsidRDefault="00E0373F" w:rsidP="00E0373F">
            <w:pPr>
              <w:spacing w:after="0" w:line="240" w:lineRule="auto"/>
              <w:jc w:val="center"/>
              <w:rPr>
                <w:rFonts w:ascii="Verdana" w:hAnsi="Verdana"/>
                <w:b/>
                <w:bCs/>
                <w:color w:val="000000"/>
                <w:sz w:val="16"/>
                <w:szCs w:val="16"/>
              </w:rPr>
            </w:pPr>
            <w:r w:rsidRPr="00E0373F">
              <w:rPr>
                <w:rFonts w:ascii="Verdana" w:hAnsi="Verdana"/>
                <w:b/>
                <w:bCs/>
                <w:color w:val="000000"/>
                <w:sz w:val="16"/>
                <w:szCs w:val="16"/>
              </w:rPr>
              <w:t>78,077</w:t>
            </w:r>
          </w:p>
        </w:tc>
        <w:tc>
          <w:tcPr>
            <w:tcW w:w="1380" w:type="dxa"/>
            <w:tcBorders>
              <w:top w:val="nil"/>
              <w:left w:val="nil"/>
              <w:bottom w:val="dashed" w:sz="8" w:space="0" w:color="000000"/>
              <w:right w:val="single" w:sz="8" w:space="0" w:color="000000"/>
            </w:tcBorders>
            <w:vAlign w:val="center"/>
            <w:hideMark/>
          </w:tcPr>
          <w:p w14:paraId="186A5E2B" w14:textId="77777777" w:rsidR="00E0373F" w:rsidRPr="00E0373F" w:rsidRDefault="00E0373F" w:rsidP="00E0373F">
            <w:pPr>
              <w:spacing w:after="0" w:line="240" w:lineRule="auto"/>
              <w:jc w:val="center"/>
              <w:rPr>
                <w:rFonts w:ascii="Verdana" w:hAnsi="Verdana"/>
                <w:b/>
                <w:bCs/>
                <w:sz w:val="16"/>
                <w:szCs w:val="16"/>
              </w:rPr>
            </w:pPr>
            <w:r w:rsidRPr="00E0373F">
              <w:rPr>
                <w:rFonts w:ascii="Verdana" w:hAnsi="Verdana"/>
                <w:b/>
                <w:bCs/>
                <w:sz w:val="16"/>
                <w:szCs w:val="16"/>
              </w:rPr>
              <w:t>20.38%</w:t>
            </w:r>
          </w:p>
        </w:tc>
        <w:tc>
          <w:tcPr>
            <w:tcW w:w="1380" w:type="dxa"/>
            <w:tcBorders>
              <w:top w:val="nil"/>
              <w:left w:val="nil"/>
              <w:bottom w:val="dashed" w:sz="8" w:space="0" w:color="000000"/>
              <w:right w:val="single" w:sz="8" w:space="0" w:color="000000"/>
            </w:tcBorders>
            <w:vAlign w:val="center"/>
            <w:hideMark/>
          </w:tcPr>
          <w:p w14:paraId="43AB51FE" w14:textId="77777777" w:rsidR="00E0373F" w:rsidRPr="00E0373F" w:rsidRDefault="00E0373F" w:rsidP="00E0373F">
            <w:pPr>
              <w:spacing w:after="0" w:line="240" w:lineRule="auto"/>
              <w:jc w:val="center"/>
              <w:rPr>
                <w:rFonts w:ascii="Verdana" w:hAnsi="Verdana"/>
                <w:b/>
                <w:bCs/>
                <w:color w:val="000000"/>
                <w:sz w:val="16"/>
                <w:szCs w:val="16"/>
              </w:rPr>
            </w:pPr>
            <w:r w:rsidRPr="00E0373F">
              <w:rPr>
                <w:rFonts w:ascii="Verdana" w:hAnsi="Verdana"/>
                <w:b/>
                <w:bCs/>
                <w:color w:val="000000"/>
                <w:sz w:val="16"/>
                <w:szCs w:val="16"/>
              </w:rPr>
              <w:t>7,262</w:t>
            </w:r>
          </w:p>
        </w:tc>
        <w:tc>
          <w:tcPr>
            <w:tcW w:w="1380" w:type="dxa"/>
            <w:tcBorders>
              <w:top w:val="nil"/>
              <w:left w:val="nil"/>
              <w:bottom w:val="dashed" w:sz="8" w:space="0" w:color="000000"/>
              <w:right w:val="single" w:sz="8" w:space="0" w:color="000000"/>
            </w:tcBorders>
            <w:vAlign w:val="center"/>
            <w:hideMark/>
          </w:tcPr>
          <w:p w14:paraId="1E7543DC" w14:textId="77777777" w:rsidR="00E0373F" w:rsidRPr="00E0373F" w:rsidRDefault="00E0373F" w:rsidP="00E0373F">
            <w:pPr>
              <w:spacing w:after="0" w:line="240" w:lineRule="auto"/>
              <w:jc w:val="center"/>
              <w:rPr>
                <w:rFonts w:ascii="Verdana" w:hAnsi="Verdana"/>
                <w:b/>
                <w:bCs/>
                <w:sz w:val="16"/>
                <w:szCs w:val="16"/>
              </w:rPr>
            </w:pPr>
            <w:r w:rsidRPr="00E0373F">
              <w:rPr>
                <w:rFonts w:ascii="Verdana" w:hAnsi="Verdana"/>
                <w:b/>
                <w:bCs/>
                <w:sz w:val="16"/>
                <w:szCs w:val="16"/>
              </w:rPr>
              <w:t>1.90%</w:t>
            </w:r>
          </w:p>
        </w:tc>
      </w:tr>
      <w:tr w:rsidR="00E0373F" w:rsidRPr="00E96DBC" w14:paraId="74C1F406" w14:textId="77777777" w:rsidTr="00E0373F">
        <w:trPr>
          <w:trHeight w:val="106"/>
        </w:trPr>
        <w:tc>
          <w:tcPr>
            <w:tcW w:w="2120" w:type="dxa"/>
            <w:tcBorders>
              <w:top w:val="nil"/>
              <w:left w:val="single" w:sz="8" w:space="0" w:color="000000"/>
              <w:bottom w:val="dashed" w:sz="8" w:space="0" w:color="000000"/>
              <w:right w:val="single" w:sz="8" w:space="0" w:color="000000"/>
            </w:tcBorders>
            <w:shd w:val="clear" w:color="auto" w:fill="002060"/>
            <w:vAlign w:val="center"/>
            <w:hideMark/>
          </w:tcPr>
          <w:p w14:paraId="3C390DBE" w14:textId="77777777" w:rsidR="00E0373F" w:rsidRPr="00E0373F" w:rsidRDefault="00E0373F" w:rsidP="00E0373F">
            <w:pPr>
              <w:spacing w:after="0" w:line="240" w:lineRule="auto"/>
              <w:ind w:firstLineChars="100" w:firstLine="160"/>
              <w:rPr>
                <w:rFonts w:ascii="Verdana" w:hAnsi="Verdana" w:cs="Arial"/>
                <w:sz w:val="16"/>
                <w:szCs w:val="16"/>
              </w:rPr>
            </w:pPr>
            <w:r w:rsidRPr="00E0373F">
              <w:rPr>
                <w:rFonts w:ascii="Verdana" w:hAnsi="Verdana" w:cs="Arial"/>
                <w:sz w:val="16"/>
                <w:szCs w:val="16"/>
              </w:rPr>
              <w:t> </w:t>
            </w:r>
          </w:p>
        </w:tc>
        <w:tc>
          <w:tcPr>
            <w:tcW w:w="1380" w:type="dxa"/>
            <w:tcBorders>
              <w:top w:val="nil"/>
              <w:left w:val="nil"/>
              <w:bottom w:val="dashed" w:sz="8" w:space="0" w:color="000000"/>
              <w:right w:val="single" w:sz="8" w:space="0" w:color="000000"/>
            </w:tcBorders>
            <w:shd w:val="clear" w:color="auto" w:fill="002060"/>
            <w:vAlign w:val="center"/>
            <w:hideMark/>
          </w:tcPr>
          <w:p w14:paraId="73D1130E" w14:textId="77777777" w:rsidR="00E0373F" w:rsidRPr="00E0373F" w:rsidRDefault="00E0373F" w:rsidP="00E0373F">
            <w:pPr>
              <w:spacing w:after="0" w:line="240" w:lineRule="auto"/>
              <w:ind w:firstLineChars="100" w:firstLine="160"/>
              <w:rPr>
                <w:rFonts w:ascii="Verdana" w:hAnsi="Verdana" w:cs="Arial"/>
                <w:color w:val="FF0000"/>
                <w:sz w:val="16"/>
                <w:szCs w:val="16"/>
              </w:rPr>
            </w:pPr>
            <w:r w:rsidRPr="00E0373F">
              <w:rPr>
                <w:rFonts w:ascii="Verdana" w:hAnsi="Verdana" w:cs="Arial"/>
                <w:color w:val="FF0000"/>
                <w:sz w:val="16"/>
                <w:szCs w:val="16"/>
              </w:rPr>
              <w:t> </w:t>
            </w:r>
          </w:p>
        </w:tc>
        <w:tc>
          <w:tcPr>
            <w:tcW w:w="1380" w:type="dxa"/>
            <w:tcBorders>
              <w:top w:val="nil"/>
              <w:left w:val="nil"/>
              <w:bottom w:val="dashed" w:sz="8" w:space="0" w:color="000000"/>
              <w:right w:val="single" w:sz="8" w:space="0" w:color="000000"/>
            </w:tcBorders>
            <w:shd w:val="clear" w:color="auto" w:fill="002060"/>
            <w:vAlign w:val="center"/>
            <w:hideMark/>
          </w:tcPr>
          <w:p w14:paraId="36D4E28B" w14:textId="77777777" w:rsidR="00E0373F" w:rsidRPr="00E0373F" w:rsidRDefault="00E0373F" w:rsidP="00E0373F">
            <w:pPr>
              <w:spacing w:after="0" w:line="240" w:lineRule="auto"/>
              <w:ind w:firstLineChars="100" w:firstLine="160"/>
              <w:rPr>
                <w:rFonts w:ascii="Verdana" w:hAnsi="Verdana" w:cs="Calibri"/>
                <w:sz w:val="16"/>
                <w:szCs w:val="16"/>
              </w:rPr>
            </w:pPr>
            <w:r w:rsidRPr="00E0373F">
              <w:rPr>
                <w:rFonts w:ascii="Verdana" w:hAnsi="Verdana" w:cs="Calibri"/>
                <w:sz w:val="16"/>
                <w:szCs w:val="16"/>
              </w:rPr>
              <w:t> </w:t>
            </w:r>
          </w:p>
        </w:tc>
        <w:tc>
          <w:tcPr>
            <w:tcW w:w="1380" w:type="dxa"/>
            <w:tcBorders>
              <w:top w:val="nil"/>
              <w:left w:val="nil"/>
              <w:bottom w:val="dashed" w:sz="8" w:space="0" w:color="000000"/>
              <w:right w:val="single" w:sz="8" w:space="0" w:color="000000"/>
            </w:tcBorders>
            <w:shd w:val="clear" w:color="auto" w:fill="002060"/>
            <w:vAlign w:val="center"/>
            <w:hideMark/>
          </w:tcPr>
          <w:p w14:paraId="2003BC0D" w14:textId="77777777" w:rsidR="00E0373F" w:rsidRPr="00E0373F" w:rsidRDefault="00E0373F" w:rsidP="00E0373F">
            <w:pPr>
              <w:spacing w:after="0" w:line="240" w:lineRule="auto"/>
              <w:ind w:firstLineChars="100" w:firstLine="160"/>
              <w:rPr>
                <w:rFonts w:ascii="Verdana" w:hAnsi="Verdana" w:cs="Arial"/>
                <w:sz w:val="16"/>
                <w:szCs w:val="16"/>
              </w:rPr>
            </w:pPr>
            <w:r w:rsidRPr="00E0373F">
              <w:rPr>
                <w:rFonts w:ascii="Verdana" w:hAnsi="Verdana" w:cs="Arial"/>
                <w:sz w:val="16"/>
                <w:szCs w:val="16"/>
              </w:rPr>
              <w:t> </w:t>
            </w:r>
          </w:p>
        </w:tc>
        <w:tc>
          <w:tcPr>
            <w:tcW w:w="1380" w:type="dxa"/>
            <w:tcBorders>
              <w:top w:val="nil"/>
              <w:left w:val="nil"/>
              <w:bottom w:val="dashed" w:sz="8" w:space="0" w:color="000000"/>
              <w:right w:val="single" w:sz="8" w:space="0" w:color="000000"/>
            </w:tcBorders>
            <w:shd w:val="clear" w:color="auto" w:fill="002060"/>
            <w:vAlign w:val="center"/>
            <w:hideMark/>
          </w:tcPr>
          <w:p w14:paraId="4A51F220" w14:textId="77777777" w:rsidR="00E0373F" w:rsidRPr="00E0373F" w:rsidRDefault="00E0373F" w:rsidP="00E0373F">
            <w:pPr>
              <w:spacing w:after="0" w:line="240" w:lineRule="auto"/>
              <w:ind w:firstLineChars="100" w:firstLine="160"/>
              <w:rPr>
                <w:rFonts w:ascii="Verdana" w:hAnsi="Verdana" w:cs="Calibri"/>
                <w:color w:val="FF0000"/>
                <w:sz w:val="16"/>
                <w:szCs w:val="16"/>
              </w:rPr>
            </w:pPr>
            <w:r w:rsidRPr="00E0373F">
              <w:rPr>
                <w:rFonts w:ascii="Verdana" w:hAnsi="Verdana" w:cs="Calibri"/>
                <w:color w:val="FF0000"/>
                <w:sz w:val="16"/>
                <w:szCs w:val="16"/>
              </w:rPr>
              <w:t> </w:t>
            </w:r>
          </w:p>
        </w:tc>
        <w:tc>
          <w:tcPr>
            <w:tcW w:w="1380" w:type="dxa"/>
            <w:tcBorders>
              <w:top w:val="nil"/>
              <w:left w:val="nil"/>
              <w:bottom w:val="dashed" w:sz="8" w:space="0" w:color="000000"/>
              <w:right w:val="single" w:sz="8" w:space="0" w:color="000000"/>
            </w:tcBorders>
            <w:shd w:val="clear" w:color="auto" w:fill="002060"/>
            <w:vAlign w:val="center"/>
            <w:hideMark/>
          </w:tcPr>
          <w:p w14:paraId="44C28054" w14:textId="77777777" w:rsidR="00E0373F" w:rsidRPr="00E0373F" w:rsidRDefault="00E0373F" w:rsidP="00E0373F">
            <w:pPr>
              <w:spacing w:after="0" w:line="240" w:lineRule="auto"/>
              <w:ind w:firstLineChars="100" w:firstLine="160"/>
              <w:rPr>
                <w:rFonts w:ascii="Verdana" w:hAnsi="Verdana" w:cs="Arial"/>
                <w:sz w:val="16"/>
                <w:szCs w:val="16"/>
              </w:rPr>
            </w:pPr>
            <w:r w:rsidRPr="00E0373F">
              <w:rPr>
                <w:rFonts w:ascii="Verdana" w:hAnsi="Verdana" w:cs="Arial"/>
                <w:sz w:val="16"/>
                <w:szCs w:val="16"/>
              </w:rPr>
              <w:t> </w:t>
            </w:r>
          </w:p>
        </w:tc>
      </w:tr>
      <w:tr w:rsidR="00E0373F" w:rsidRPr="00E96DBC" w14:paraId="2DEB5603" w14:textId="77777777" w:rsidTr="00E7657C">
        <w:trPr>
          <w:trHeight w:val="315"/>
        </w:trPr>
        <w:tc>
          <w:tcPr>
            <w:tcW w:w="2120" w:type="dxa"/>
            <w:tcBorders>
              <w:top w:val="nil"/>
              <w:left w:val="single" w:sz="8" w:space="0" w:color="000000"/>
              <w:bottom w:val="dashed" w:sz="8" w:space="0" w:color="000000"/>
              <w:right w:val="single" w:sz="8" w:space="0" w:color="000000"/>
            </w:tcBorders>
            <w:vAlign w:val="center"/>
            <w:hideMark/>
          </w:tcPr>
          <w:p w14:paraId="4FBB7E65" w14:textId="77777777" w:rsidR="00E0373F" w:rsidRPr="00E0373F" w:rsidRDefault="00E0373F" w:rsidP="00E0373F">
            <w:pPr>
              <w:spacing w:after="0" w:line="240" w:lineRule="auto"/>
              <w:ind w:firstLineChars="100" w:firstLine="161"/>
              <w:rPr>
                <w:rFonts w:ascii="Verdana" w:hAnsi="Verdana"/>
                <w:b/>
                <w:bCs/>
                <w:color w:val="000000"/>
                <w:sz w:val="16"/>
                <w:szCs w:val="16"/>
              </w:rPr>
            </w:pPr>
            <w:r w:rsidRPr="00E0373F">
              <w:rPr>
                <w:rFonts w:ascii="Verdana" w:hAnsi="Verdana"/>
                <w:b/>
                <w:bCs/>
                <w:color w:val="000000"/>
                <w:sz w:val="16"/>
                <w:szCs w:val="16"/>
              </w:rPr>
              <w:t xml:space="preserve">Total ISF </w:t>
            </w:r>
          </w:p>
        </w:tc>
        <w:tc>
          <w:tcPr>
            <w:tcW w:w="1380" w:type="dxa"/>
            <w:tcBorders>
              <w:top w:val="nil"/>
              <w:left w:val="nil"/>
              <w:bottom w:val="dashed" w:sz="8" w:space="0" w:color="000000"/>
              <w:right w:val="single" w:sz="8" w:space="0" w:color="000000"/>
            </w:tcBorders>
            <w:vAlign w:val="center"/>
            <w:hideMark/>
          </w:tcPr>
          <w:p w14:paraId="66ECB80A" w14:textId="77777777" w:rsidR="00E0373F" w:rsidRPr="00E0373F" w:rsidRDefault="00E0373F" w:rsidP="00E0373F">
            <w:pPr>
              <w:spacing w:after="0" w:line="240" w:lineRule="auto"/>
              <w:jc w:val="center"/>
              <w:rPr>
                <w:rFonts w:ascii="Verdana" w:hAnsi="Verdana"/>
                <w:b/>
                <w:bCs/>
                <w:color w:val="000000"/>
                <w:sz w:val="16"/>
                <w:szCs w:val="16"/>
              </w:rPr>
            </w:pPr>
            <w:r w:rsidRPr="00E0373F">
              <w:rPr>
                <w:rFonts w:ascii="Verdana" w:hAnsi="Verdana"/>
                <w:b/>
                <w:bCs/>
                <w:color w:val="000000"/>
                <w:sz w:val="16"/>
                <w:szCs w:val="16"/>
              </w:rPr>
              <w:t>2,238</w:t>
            </w:r>
          </w:p>
        </w:tc>
        <w:tc>
          <w:tcPr>
            <w:tcW w:w="1380" w:type="dxa"/>
            <w:tcBorders>
              <w:top w:val="nil"/>
              <w:left w:val="nil"/>
              <w:bottom w:val="dashed" w:sz="8" w:space="0" w:color="000000"/>
              <w:right w:val="single" w:sz="8" w:space="0" w:color="000000"/>
            </w:tcBorders>
            <w:vAlign w:val="center"/>
            <w:hideMark/>
          </w:tcPr>
          <w:p w14:paraId="225D3F30" w14:textId="77777777" w:rsidR="00E0373F" w:rsidRPr="00E0373F" w:rsidRDefault="00E0373F" w:rsidP="00E0373F">
            <w:pPr>
              <w:spacing w:after="0" w:line="240" w:lineRule="auto"/>
              <w:jc w:val="center"/>
              <w:rPr>
                <w:rFonts w:ascii="Verdana" w:hAnsi="Verdana"/>
                <w:b/>
                <w:bCs/>
                <w:color w:val="000000"/>
                <w:sz w:val="16"/>
                <w:szCs w:val="16"/>
              </w:rPr>
            </w:pPr>
            <w:r w:rsidRPr="00E0373F">
              <w:rPr>
                <w:rFonts w:ascii="Verdana" w:hAnsi="Verdana"/>
                <w:b/>
                <w:bCs/>
                <w:color w:val="000000"/>
                <w:sz w:val="16"/>
                <w:szCs w:val="16"/>
              </w:rPr>
              <w:t>1,451</w:t>
            </w:r>
          </w:p>
        </w:tc>
        <w:tc>
          <w:tcPr>
            <w:tcW w:w="1380" w:type="dxa"/>
            <w:tcBorders>
              <w:top w:val="nil"/>
              <w:left w:val="nil"/>
              <w:bottom w:val="dashed" w:sz="8" w:space="0" w:color="000000"/>
              <w:right w:val="single" w:sz="8" w:space="0" w:color="000000"/>
            </w:tcBorders>
            <w:vAlign w:val="center"/>
            <w:hideMark/>
          </w:tcPr>
          <w:p w14:paraId="6E4DC8F6" w14:textId="77777777" w:rsidR="00E0373F" w:rsidRPr="00E0373F" w:rsidRDefault="00E0373F" w:rsidP="00E0373F">
            <w:pPr>
              <w:spacing w:after="0" w:line="240" w:lineRule="auto"/>
              <w:jc w:val="center"/>
              <w:rPr>
                <w:rFonts w:ascii="Verdana" w:hAnsi="Verdana"/>
                <w:b/>
                <w:bCs/>
                <w:sz w:val="16"/>
                <w:szCs w:val="16"/>
              </w:rPr>
            </w:pPr>
            <w:r w:rsidRPr="00E0373F">
              <w:rPr>
                <w:rFonts w:ascii="Verdana" w:hAnsi="Verdana"/>
                <w:b/>
                <w:bCs/>
                <w:sz w:val="16"/>
                <w:szCs w:val="16"/>
              </w:rPr>
              <w:t>64.83%</w:t>
            </w:r>
          </w:p>
        </w:tc>
        <w:tc>
          <w:tcPr>
            <w:tcW w:w="1380" w:type="dxa"/>
            <w:tcBorders>
              <w:top w:val="nil"/>
              <w:left w:val="nil"/>
              <w:bottom w:val="dashed" w:sz="8" w:space="0" w:color="000000"/>
              <w:right w:val="single" w:sz="8" w:space="0" w:color="000000"/>
            </w:tcBorders>
            <w:vAlign w:val="center"/>
            <w:hideMark/>
          </w:tcPr>
          <w:p w14:paraId="39236BDF" w14:textId="77777777" w:rsidR="00E0373F" w:rsidRPr="00E0373F" w:rsidRDefault="00E0373F" w:rsidP="00E0373F">
            <w:pPr>
              <w:spacing w:after="0" w:line="240" w:lineRule="auto"/>
              <w:jc w:val="center"/>
              <w:rPr>
                <w:rFonts w:ascii="Verdana" w:hAnsi="Verdana"/>
                <w:b/>
                <w:bCs/>
                <w:color w:val="000000"/>
                <w:sz w:val="16"/>
                <w:szCs w:val="16"/>
              </w:rPr>
            </w:pPr>
            <w:r w:rsidRPr="00E0373F">
              <w:rPr>
                <w:rFonts w:ascii="Verdana" w:hAnsi="Verdana"/>
                <w:b/>
                <w:bCs/>
                <w:color w:val="000000"/>
                <w:sz w:val="16"/>
                <w:szCs w:val="16"/>
              </w:rPr>
              <w:t>64</w:t>
            </w:r>
          </w:p>
        </w:tc>
        <w:tc>
          <w:tcPr>
            <w:tcW w:w="1380" w:type="dxa"/>
            <w:tcBorders>
              <w:top w:val="nil"/>
              <w:left w:val="nil"/>
              <w:bottom w:val="dashed" w:sz="8" w:space="0" w:color="000000"/>
              <w:right w:val="single" w:sz="8" w:space="0" w:color="000000"/>
            </w:tcBorders>
            <w:vAlign w:val="center"/>
            <w:hideMark/>
          </w:tcPr>
          <w:p w14:paraId="1EEE1012" w14:textId="77777777" w:rsidR="00E0373F" w:rsidRPr="00E0373F" w:rsidRDefault="00E0373F" w:rsidP="00E0373F">
            <w:pPr>
              <w:spacing w:after="0" w:line="240" w:lineRule="auto"/>
              <w:jc w:val="center"/>
              <w:rPr>
                <w:rFonts w:ascii="Verdana" w:hAnsi="Verdana"/>
                <w:b/>
                <w:bCs/>
                <w:sz w:val="16"/>
                <w:szCs w:val="16"/>
              </w:rPr>
            </w:pPr>
            <w:r w:rsidRPr="00E0373F">
              <w:rPr>
                <w:rFonts w:ascii="Verdana" w:hAnsi="Verdana"/>
                <w:b/>
                <w:bCs/>
                <w:sz w:val="16"/>
                <w:szCs w:val="16"/>
              </w:rPr>
              <w:t>2.86%</w:t>
            </w:r>
          </w:p>
        </w:tc>
      </w:tr>
      <w:tr w:rsidR="00E0373F" w:rsidRPr="00E96DBC" w14:paraId="0D0F25C6" w14:textId="77777777" w:rsidTr="00E0373F">
        <w:trPr>
          <w:trHeight w:val="115"/>
        </w:trPr>
        <w:tc>
          <w:tcPr>
            <w:tcW w:w="2120" w:type="dxa"/>
            <w:tcBorders>
              <w:top w:val="nil"/>
              <w:left w:val="single" w:sz="8" w:space="0" w:color="000000"/>
              <w:bottom w:val="dashed" w:sz="8" w:space="0" w:color="000000"/>
              <w:right w:val="single" w:sz="8" w:space="0" w:color="000000"/>
            </w:tcBorders>
            <w:shd w:val="clear" w:color="auto" w:fill="002060"/>
            <w:hideMark/>
          </w:tcPr>
          <w:p w14:paraId="384F71E7" w14:textId="77777777" w:rsidR="00E0373F" w:rsidRPr="00E0373F" w:rsidRDefault="00E0373F" w:rsidP="00E0373F">
            <w:pPr>
              <w:spacing w:after="0" w:line="240" w:lineRule="auto"/>
              <w:ind w:firstLineChars="100" w:firstLine="160"/>
              <w:rPr>
                <w:rFonts w:ascii="Verdana" w:hAnsi="Verdana" w:cs="Arial"/>
                <w:sz w:val="16"/>
                <w:szCs w:val="16"/>
              </w:rPr>
            </w:pPr>
            <w:r w:rsidRPr="00E0373F">
              <w:rPr>
                <w:rFonts w:ascii="Verdana" w:hAnsi="Verdana" w:cs="Arial"/>
                <w:sz w:val="16"/>
                <w:szCs w:val="16"/>
              </w:rPr>
              <w:t> </w:t>
            </w:r>
          </w:p>
        </w:tc>
        <w:tc>
          <w:tcPr>
            <w:tcW w:w="1380" w:type="dxa"/>
            <w:tcBorders>
              <w:top w:val="nil"/>
              <w:left w:val="nil"/>
              <w:bottom w:val="dashed" w:sz="8" w:space="0" w:color="000000"/>
              <w:right w:val="single" w:sz="8" w:space="0" w:color="000000"/>
            </w:tcBorders>
            <w:shd w:val="clear" w:color="auto" w:fill="002060"/>
            <w:hideMark/>
          </w:tcPr>
          <w:p w14:paraId="5AD18954" w14:textId="77777777" w:rsidR="00E0373F" w:rsidRPr="00E0373F" w:rsidRDefault="00E0373F" w:rsidP="00E0373F">
            <w:pPr>
              <w:spacing w:after="0" w:line="240" w:lineRule="auto"/>
              <w:ind w:firstLineChars="100" w:firstLine="160"/>
              <w:rPr>
                <w:rFonts w:ascii="Verdana" w:hAnsi="Verdana" w:cs="Arial"/>
                <w:sz w:val="16"/>
                <w:szCs w:val="16"/>
              </w:rPr>
            </w:pPr>
            <w:r w:rsidRPr="00E0373F">
              <w:rPr>
                <w:rFonts w:ascii="Verdana" w:hAnsi="Verdana" w:cs="Arial"/>
                <w:sz w:val="16"/>
                <w:szCs w:val="16"/>
              </w:rPr>
              <w:t> </w:t>
            </w:r>
          </w:p>
        </w:tc>
        <w:tc>
          <w:tcPr>
            <w:tcW w:w="1380" w:type="dxa"/>
            <w:tcBorders>
              <w:top w:val="nil"/>
              <w:left w:val="nil"/>
              <w:bottom w:val="dashed" w:sz="8" w:space="0" w:color="000000"/>
              <w:right w:val="single" w:sz="8" w:space="0" w:color="000000"/>
            </w:tcBorders>
            <w:shd w:val="clear" w:color="auto" w:fill="002060"/>
            <w:hideMark/>
          </w:tcPr>
          <w:p w14:paraId="338E3043" w14:textId="77777777" w:rsidR="00E0373F" w:rsidRPr="00E0373F" w:rsidRDefault="00E0373F" w:rsidP="00E0373F">
            <w:pPr>
              <w:spacing w:after="0" w:line="240" w:lineRule="auto"/>
              <w:ind w:firstLineChars="100" w:firstLine="160"/>
              <w:rPr>
                <w:rFonts w:ascii="Verdana" w:hAnsi="Verdana" w:cs="Calibri"/>
                <w:sz w:val="16"/>
                <w:szCs w:val="16"/>
              </w:rPr>
            </w:pPr>
            <w:r w:rsidRPr="00E0373F">
              <w:rPr>
                <w:rFonts w:ascii="Verdana" w:hAnsi="Verdana" w:cs="Calibri"/>
                <w:sz w:val="16"/>
                <w:szCs w:val="16"/>
              </w:rPr>
              <w:t> </w:t>
            </w:r>
          </w:p>
        </w:tc>
        <w:tc>
          <w:tcPr>
            <w:tcW w:w="1380" w:type="dxa"/>
            <w:tcBorders>
              <w:top w:val="nil"/>
              <w:left w:val="nil"/>
              <w:bottom w:val="dashed" w:sz="8" w:space="0" w:color="000000"/>
              <w:right w:val="single" w:sz="8" w:space="0" w:color="000000"/>
            </w:tcBorders>
            <w:shd w:val="clear" w:color="auto" w:fill="002060"/>
            <w:hideMark/>
          </w:tcPr>
          <w:p w14:paraId="70DE3E86" w14:textId="77777777" w:rsidR="00E0373F" w:rsidRPr="00E0373F" w:rsidRDefault="00E0373F" w:rsidP="00E0373F">
            <w:pPr>
              <w:spacing w:after="0" w:line="240" w:lineRule="auto"/>
              <w:ind w:firstLineChars="100" w:firstLine="160"/>
              <w:rPr>
                <w:rFonts w:ascii="Verdana" w:hAnsi="Verdana" w:cs="Arial"/>
                <w:sz w:val="16"/>
                <w:szCs w:val="16"/>
              </w:rPr>
            </w:pPr>
            <w:r w:rsidRPr="00E0373F">
              <w:rPr>
                <w:rFonts w:ascii="Verdana" w:hAnsi="Verdana" w:cs="Arial"/>
                <w:sz w:val="16"/>
                <w:szCs w:val="16"/>
              </w:rPr>
              <w:t> </w:t>
            </w:r>
          </w:p>
        </w:tc>
        <w:tc>
          <w:tcPr>
            <w:tcW w:w="1380" w:type="dxa"/>
            <w:tcBorders>
              <w:top w:val="nil"/>
              <w:left w:val="nil"/>
              <w:bottom w:val="dashed" w:sz="8" w:space="0" w:color="000000"/>
              <w:right w:val="single" w:sz="8" w:space="0" w:color="000000"/>
            </w:tcBorders>
            <w:shd w:val="clear" w:color="auto" w:fill="002060"/>
            <w:hideMark/>
          </w:tcPr>
          <w:p w14:paraId="19117FC3" w14:textId="77777777" w:rsidR="00E0373F" w:rsidRPr="00E0373F" w:rsidRDefault="00E0373F" w:rsidP="00E0373F">
            <w:pPr>
              <w:spacing w:after="0" w:line="240" w:lineRule="auto"/>
              <w:ind w:firstLineChars="100" w:firstLine="160"/>
              <w:rPr>
                <w:rFonts w:ascii="Verdana" w:hAnsi="Verdana" w:cs="Calibri"/>
                <w:sz w:val="16"/>
                <w:szCs w:val="16"/>
              </w:rPr>
            </w:pPr>
            <w:r w:rsidRPr="00E0373F">
              <w:rPr>
                <w:rFonts w:ascii="Verdana" w:hAnsi="Verdana" w:cs="Calibri"/>
                <w:sz w:val="16"/>
                <w:szCs w:val="16"/>
              </w:rPr>
              <w:t> </w:t>
            </w:r>
          </w:p>
        </w:tc>
        <w:tc>
          <w:tcPr>
            <w:tcW w:w="1380" w:type="dxa"/>
            <w:tcBorders>
              <w:top w:val="nil"/>
              <w:left w:val="nil"/>
              <w:bottom w:val="dashed" w:sz="8" w:space="0" w:color="000000"/>
              <w:right w:val="single" w:sz="8" w:space="0" w:color="000000"/>
            </w:tcBorders>
            <w:shd w:val="clear" w:color="auto" w:fill="002060"/>
            <w:hideMark/>
          </w:tcPr>
          <w:p w14:paraId="4F5F10AA" w14:textId="77777777" w:rsidR="00E0373F" w:rsidRPr="00E0373F" w:rsidRDefault="00E0373F" w:rsidP="00E0373F">
            <w:pPr>
              <w:spacing w:after="0" w:line="240" w:lineRule="auto"/>
              <w:ind w:firstLineChars="100" w:firstLine="160"/>
              <w:rPr>
                <w:rFonts w:ascii="Verdana" w:hAnsi="Verdana" w:cs="Arial"/>
                <w:sz w:val="16"/>
                <w:szCs w:val="16"/>
              </w:rPr>
            </w:pPr>
            <w:r w:rsidRPr="00E0373F">
              <w:rPr>
                <w:rFonts w:ascii="Verdana" w:hAnsi="Verdana" w:cs="Arial"/>
                <w:sz w:val="16"/>
                <w:szCs w:val="16"/>
              </w:rPr>
              <w:t> </w:t>
            </w:r>
          </w:p>
        </w:tc>
      </w:tr>
      <w:tr w:rsidR="00E0373F" w:rsidRPr="00E96DBC" w14:paraId="6670E6B9" w14:textId="77777777" w:rsidTr="00E7657C">
        <w:trPr>
          <w:trHeight w:val="315"/>
        </w:trPr>
        <w:tc>
          <w:tcPr>
            <w:tcW w:w="2120" w:type="dxa"/>
            <w:tcBorders>
              <w:top w:val="nil"/>
              <w:left w:val="single" w:sz="8" w:space="0" w:color="000000"/>
              <w:bottom w:val="dashed" w:sz="8" w:space="0" w:color="000000"/>
              <w:right w:val="single" w:sz="8" w:space="0" w:color="000000"/>
            </w:tcBorders>
            <w:vAlign w:val="center"/>
            <w:hideMark/>
          </w:tcPr>
          <w:p w14:paraId="1928D282" w14:textId="77777777" w:rsidR="00E0373F" w:rsidRPr="00E0373F" w:rsidRDefault="00E0373F" w:rsidP="00E0373F">
            <w:pPr>
              <w:spacing w:after="0" w:line="240" w:lineRule="auto"/>
              <w:jc w:val="center"/>
              <w:rPr>
                <w:rFonts w:ascii="Verdana" w:hAnsi="Verdana"/>
                <w:i/>
                <w:iCs/>
                <w:color w:val="000000"/>
                <w:sz w:val="16"/>
                <w:szCs w:val="16"/>
              </w:rPr>
            </w:pPr>
            <w:r w:rsidRPr="00E0373F">
              <w:rPr>
                <w:rFonts w:ascii="Verdana" w:hAnsi="Verdana"/>
                <w:i/>
                <w:iCs/>
                <w:color w:val="000000"/>
                <w:sz w:val="16"/>
                <w:szCs w:val="16"/>
              </w:rPr>
              <w:t>Prison</w:t>
            </w:r>
          </w:p>
        </w:tc>
        <w:tc>
          <w:tcPr>
            <w:tcW w:w="1380" w:type="dxa"/>
            <w:tcBorders>
              <w:top w:val="nil"/>
              <w:left w:val="nil"/>
              <w:bottom w:val="dashed" w:sz="8" w:space="0" w:color="000000"/>
              <w:right w:val="single" w:sz="8" w:space="0" w:color="000000"/>
            </w:tcBorders>
            <w:vAlign w:val="center"/>
            <w:hideMark/>
          </w:tcPr>
          <w:p w14:paraId="4E2073D5" w14:textId="77777777" w:rsidR="00E0373F" w:rsidRPr="00E0373F" w:rsidRDefault="00E0373F" w:rsidP="00E0373F">
            <w:pPr>
              <w:spacing w:after="0" w:line="240" w:lineRule="auto"/>
              <w:jc w:val="center"/>
              <w:rPr>
                <w:rFonts w:ascii="Verdana" w:hAnsi="Verdana"/>
                <w:i/>
                <w:iCs/>
                <w:color w:val="000000"/>
                <w:sz w:val="16"/>
                <w:szCs w:val="16"/>
              </w:rPr>
            </w:pPr>
            <w:r w:rsidRPr="00E0373F">
              <w:rPr>
                <w:rFonts w:ascii="Verdana" w:hAnsi="Verdana"/>
                <w:i/>
                <w:iCs/>
                <w:color w:val="000000"/>
                <w:sz w:val="16"/>
                <w:szCs w:val="16"/>
              </w:rPr>
              <w:t>133,962</w:t>
            </w:r>
          </w:p>
        </w:tc>
        <w:tc>
          <w:tcPr>
            <w:tcW w:w="1380" w:type="dxa"/>
            <w:tcBorders>
              <w:top w:val="nil"/>
              <w:left w:val="nil"/>
              <w:bottom w:val="dashed" w:sz="8" w:space="0" w:color="000000"/>
              <w:right w:val="single" w:sz="8" w:space="0" w:color="000000"/>
            </w:tcBorders>
            <w:vAlign w:val="center"/>
            <w:hideMark/>
          </w:tcPr>
          <w:p w14:paraId="4E088B78" w14:textId="77777777" w:rsidR="00E0373F" w:rsidRPr="00E0373F" w:rsidRDefault="00E0373F" w:rsidP="00E0373F">
            <w:pPr>
              <w:spacing w:after="0" w:line="240" w:lineRule="auto"/>
              <w:jc w:val="center"/>
              <w:rPr>
                <w:rFonts w:ascii="Verdana" w:hAnsi="Verdana"/>
                <w:i/>
                <w:iCs/>
                <w:color w:val="000000"/>
                <w:sz w:val="16"/>
                <w:szCs w:val="16"/>
              </w:rPr>
            </w:pPr>
            <w:r w:rsidRPr="00E0373F">
              <w:rPr>
                <w:rFonts w:ascii="Verdana" w:hAnsi="Verdana"/>
                <w:i/>
                <w:iCs/>
                <w:color w:val="000000"/>
                <w:sz w:val="16"/>
                <w:szCs w:val="16"/>
              </w:rPr>
              <w:t>58,492</w:t>
            </w:r>
          </w:p>
        </w:tc>
        <w:tc>
          <w:tcPr>
            <w:tcW w:w="1380" w:type="dxa"/>
            <w:tcBorders>
              <w:top w:val="nil"/>
              <w:left w:val="nil"/>
              <w:bottom w:val="dashed" w:sz="8" w:space="0" w:color="000000"/>
              <w:right w:val="single" w:sz="8" w:space="0" w:color="000000"/>
            </w:tcBorders>
            <w:vAlign w:val="center"/>
            <w:hideMark/>
          </w:tcPr>
          <w:p w14:paraId="38DB534F" w14:textId="77777777" w:rsidR="00E0373F" w:rsidRPr="00E0373F" w:rsidRDefault="00E0373F" w:rsidP="00E0373F">
            <w:pPr>
              <w:spacing w:after="0" w:line="240" w:lineRule="auto"/>
              <w:jc w:val="center"/>
              <w:rPr>
                <w:rFonts w:ascii="Verdana" w:hAnsi="Verdana"/>
                <w:i/>
                <w:iCs/>
                <w:sz w:val="16"/>
                <w:szCs w:val="16"/>
              </w:rPr>
            </w:pPr>
            <w:r w:rsidRPr="00E0373F">
              <w:rPr>
                <w:rFonts w:ascii="Verdana" w:hAnsi="Verdana"/>
                <w:i/>
                <w:iCs/>
                <w:sz w:val="16"/>
                <w:szCs w:val="16"/>
              </w:rPr>
              <w:t>43.66%</w:t>
            </w:r>
          </w:p>
        </w:tc>
        <w:tc>
          <w:tcPr>
            <w:tcW w:w="1380" w:type="dxa"/>
            <w:tcBorders>
              <w:top w:val="nil"/>
              <w:left w:val="nil"/>
              <w:bottom w:val="dashed" w:sz="8" w:space="0" w:color="000000"/>
              <w:right w:val="single" w:sz="8" w:space="0" w:color="000000"/>
            </w:tcBorders>
            <w:vAlign w:val="center"/>
            <w:hideMark/>
          </w:tcPr>
          <w:p w14:paraId="5117D9EF" w14:textId="77777777" w:rsidR="00E0373F" w:rsidRPr="00E0373F" w:rsidRDefault="00E0373F" w:rsidP="00E0373F">
            <w:pPr>
              <w:spacing w:after="0" w:line="240" w:lineRule="auto"/>
              <w:jc w:val="center"/>
              <w:rPr>
                <w:rFonts w:ascii="Verdana" w:hAnsi="Verdana"/>
                <w:i/>
                <w:iCs/>
                <w:color w:val="000000"/>
                <w:sz w:val="16"/>
                <w:szCs w:val="16"/>
              </w:rPr>
            </w:pPr>
            <w:r w:rsidRPr="00E0373F">
              <w:rPr>
                <w:rFonts w:ascii="Verdana" w:hAnsi="Verdana"/>
                <w:i/>
                <w:iCs/>
                <w:color w:val="000000"/>
                <w:sz w:val="16"/>
                <w:szCs w:val="16"/>
              </w:rPr>
              <w:t>6,583</w:t>
            </w:r>
          </w:p>
        </w:tc>
        <w:tc>
          <w:tcPr>
            <w:tcW w:w="1380" w:type="dxa"/>
            <w:tcBorders>
              <w:top w:val="nil"/>
              <w:left w:val="nil"/>
              <w:bottom w:val="dashed" w:sz="8" w:space="0" w:color="000000"/>
              <w:right w:val="single" w:sz="8" w:space="0" w:color="000000"/>
            </w:tcBorders>
            <w:vAlign w:val="center"/>
            <w:hideMark/>
          </w:tcPr>
          <w:p w14:paraId="1B1096AB" w14:textId="77777777" w:rsidR="00E0373F" w:rsidRPr="00E0373F" w:rsidRDefault="00E0373F" w:rsidP="00E0373F">
            <w:pPr>
              <w:spacing w:after="0" w:line="240" w:lineRule="auto"/>
              <w:jc w:val="center"/>
              <w:rPr>
                <w:rFonts w:ascii="Verdana" w:hAnsi="Verdana"/>
                <w:i/>
                <w:iCs/>
                <w:sz w:val="16"/>
                <w:szCs w:val="16"/>
              </w:rPr>
            </w:pPr>
            <w:r w:rsidRPr="00E0373F">
              <w:rPr>
                <w:rFonts w:ascii="Verdana" w:hAnsi="Verdana"/>
                <w:i/>
                <w:iCs/>
                <w:sz w:val="16"/>
                <w:szCs w:val="16"/>
              </w:rPr>
              <w:t>4.91%</w:t>
            </w:r>
          </w:p>
        </w:tc>
      </w:tr>
      <w:tr w:rsidR="00E0373F" w:rsidRPr="00E96DBC" w14:paraId="0EA41246" w14:textId="77777777" w:rsidTr="00E7657C">
        <w:trPr>
          <w:trHeight w:val="315"/>
        </w:trPr>
        <w:tc>
          <w:tcPr>
            <w:tcW w:w="2120" w:type="dxa"/>
            <w:tcBorders>
              <w:top w:val="nil"/>
              <w:left w:val="single" w:sz="8" w:space="0" w:color="000000"/>
              <w:bottom w:val="dashed" w:sz="8" w:space="0" w:color="000000"/>
              <w:right w:val="single" w:sz="8" w:space="0" w:color="000000"/>
            </w:tcBorders>
            <w:vAlign w:val="center"/>
            <w:hideMark/>
          </w:tcPr>
          <w:p w14:paraId="145047C9" w14:textId="77777777" w:rsidR="00E0373F" w:rsidRPr="00E0373F" w:rsidRDefault="00E0373F" w:rsidP="00E0373F">
            <w:pPr>
              <w:spacing w:after="0" w:line="240" w:lineRule="auto"/>
              <w:jc w:val="center"/>
              <w:rPr>
                <w:rFonts w:ascii="Verdana" w:hAnsi="Verdana"/>
                <w:i/>
                <w:iCs/>
                <w:color w:val="000000"/>
                <w:sz w:val="16"/>
                <w:szCs w:val="16"/>
              </w:rPr>
            </w:pPr>
            <w:r w:rsidRPr="00E0373F">
              <w:rPr>
                <w:rFonts w:ascii="Verdana" w:hAnsi="Verdana"/>
                <w:i/>
                <w:iCs/>
                <w:color w:val="000000"/>
                <w:sz w:val="16"/>
                <w:szCs w:val="16"/>
              </w:rPr>
              <w:t>State Jail</w:t>
            </w:r>
          </w:p>
        </w:tc>
        <w:tc>
          <w:tcPr>
            <w:tcW w:w="1380" w:type="dxa"/>
            <w:tcBorders>
              <w:top w:val="nil"/>
              <w:left w:val="nil"/>
              <w:bottom w:val="dashed" w:sz="8" w:space="0" w:color="000000"/>
              <w:right w:val="single" w:sz="8" w:space="0" w:color="000000"/>
            </w:tcBorders>
            <w:vAlign w:val="center"/>
            <w:hideMark/>
          </w:tcPr>
          <w:p w14:paraId="66DEB82B" w14:textId="77777777" w:rsidR="00E0373F" w:rsidRPr="00E0373F" w:rsidRDefault="00E0373F" w:rsidP="00E0373F">
            <w:pPr>
              <w:spacing w:after="0" w:line="240" w:lineRule="auto"/>
              <w:jc w:val="center"/>
              <w:rPr>
                <w:rFonts w:ascii="Verdana" w:hAnsi="Verdana"/>
                <w:i/>
                <w:iCs/>
                <w:color w:val="000000"/>
                <w:sz w:val="16"/>
                <w:szCs w:val="16"/>
              </w:rPr>
            </w:pPr>
            <w:r w:rsidRPr="00E0373F">
              <w:rPr>
                <w:rFonts w:ascii="Verdana" w:hAnsi="Verdana"/>
                <w:i/>
                <w:iCs/>
                <w:color w:val="000000"/>
                <w:sz w:val="16"/>
                <w:szCs w:val="16"/>
              </w:rPr>
              <w:t>3,630</w:t>
            </w:r>
          </w:p>
        </w:tc>
        <w:tc>
          <w:tcPr>
            <w:tcW w:w="1380" w:type="dxa"/>
            <w:tcBorders>
              <w:top w:val="nil"/>
              <w:left w:val="nil"/>
              <w:bottom w:val="dashed" w:sz="8" w:space="0" w:color="000000"/>
              <w:right w:val="single" w:sz="8" w:space="0" w:color="000000"/>
            </w:tcBorders>
            <w:vAlign w:val="center"/>
            <w:hideMark/>
          </w:tcPr>
          <w:p w14:paraId="094C34C6" w14:textId="77777777" w:rsidR="00E0373F" w:rsidRPr="00E0373F" w:rsidRDefault="00E0373F" w:rsidP="00E0373F">
            <w:pPr>
              <w:spacing w:after="0" w:line="240" w:lineRule="auto"/>
              <w:jc w:val="center"/>
              <w:rPr>
                <w:rFonts w:ascii="Verdana" w:hAnsi="Verdana"/>
                <w:i/>
                <w:iCs/>
                <w:color w:val="000000"/>
                <w:sz w:val="16"/>
                <w:szCs w:val="16"/>
              </w:rPr>
            </w:pPr>
            <w:r w:rsidRPr="00E0373F">
              <w:rPr>
                <w:rFonts w:ascii="Verdana" w:hAnsi="Verdana"/>
                <w:i/>
                <w:iCs/>
                <w:color w:val="000000"/>
                <w:sz w:val="16"/>
                <w:szCs w:val="16"/>
              </w:rPr>
              <w:t>1,921</w:t>
            </w:r>
          </w:p>
        </w:tc>
        <w:tc>
          <w:tcPr>
            <w:tcW w:w="1380" w:type="dxa"/>
            <w:tcBorders>
              <w:top w:val="nil"/>
              <w:left w:val="nil"/>
              <w:bottom w:val="dashed" w:sz="8" w:space="0" w:color="000000"/>
              <w:right w:val="single" w:sz="8" w:space="0" w:color="000000"/>
            </w:tcBorders>
            <w:vAlign w:val="center"/>
            <w:hideMark/>
          </w:tcPr>
          <w:p w14:paraId="4B9139AA" w14:textId="77777777" w:rsidR="00E0373F" w:rsidRPr="00E0373F" w:rsidRDefault="00E0373F" w:rsidP="00E0373F">
            <w:pPr>
              <w:spacing w:after="0" w:line="240" w:lineRule="auto"/>
              <w:jc w:val="center"/>
              <w:rPr>
                <w:rFonts w:ascii="Verdana" w:hAnsi="Verdana"/>
                <w:i/>
                <w:iCs/>
                <w:sz w:val="16"/>
                <w:szCs w:val="16"/>
              </w:rPr>
            </w:pPr>
            <w:r w:rsidRPr="00E0373F">
              <w:rPr>
                <w:rFonts w:ascii="Verdana" w:hAnsi="Verdana"/>
                <w:i/>
                <w:iCs/>
                <w:sz w:val="16"/>
                <w:szCs w:val="16"/>
              </w:rPr>
              <w:t>52.92%</w:t>
            </w:r>
          </w:p>
        </w:tc>
        <w:tc>
          <w:tcPr>
            <w:tcW w:w="1380" w:type="dxa"/>
            <w:tcBorders>
              <w:top w:val="nil"/>
              <w:left w:val="nil"/>
              <w:bottom w:val="dashed" w:sz="8" w:space="0" w:color="000000"/>
              <w:right w:val="single" w:sz="8" w:space="0" w:color="000000"/>
            </w:tcBorders>
            <w:vAlign w:val="center"/>
            <w:hideMark/>
          </w:tcPr>
          <w:p w14:paraId="1D5E0F45" w14:textId="77777777" w:rsidR="00E0373F" w:rsidRPr="00E0373F" w:rsidRDefault="00E0373F" w:rsidP="00E0373F">
            <w:pPr>
              <w:spacing w:after="0" w:line="240" w:lineRule="auto"/>
              <w:jc w:val="center"/>
              <w:rPr>
                <w:rFonts w:ascii="Verdana" w:hAnsi="Verdana"/>
                <w:i/>
                <w:iCs/>
                <w:color w:val="000000"/>
                <w:sz w:val="16"/>
                <w:szCs w:val="16"/>
              </w:rPr>
            </w:pPr>
            <w:r w:rsidRPr="00E0373F">
              <w:rPr>
                <w:rFonts w:ascii="Verdana" w:hAnsi="Verdana"/>
                <w:i/>
                <w:iCs/>
                <w:color w:val="000000"/>
                <w:sz w:val="16"/>
                <w:szCs w:val="16"/>
              </w:rPr>
              <w:t>126</w:t>
            </w:r>
          </w:p>
        </w:tc>
        <w:tc>
          <w:tcPr>
            <w:tcW w:w="1380" w:type="dxa"/>
            <w:tcBorders>
              <w:top w:val="nil"/>
              <w:left w:val="nil"/>
              <w:bottom w:val="dashed" w:sz="8" w:space="0" w:color="000000"/>
              <w:right w:val="single" w:sz="8" w:space="0" w:color="000000"/>
            </w:tcBorders>
            <w:vAlign w:val="center"/>
            <w:hideMark/>
          </w:tcPr>
          <w:p w14:paraId="3C7C7BBF" w14:textId="77777777" w:rsidR="00E0373F" w:rsidRPr="00E0373F" w:rsidRDefault="00E0373F" w:rsidP="00E0373F">
            <w:pPr>
              <w:spacing w:after="0" w:line="240" w:lineRule="auto"/>
              <w:jc w:val="center"/>
              <w:rPr>
                <w:rFonts w:ascii="Verdana" w:hAnsi="Verdana"/>
                <w:i/>
                <w:iCs/>
                <w:sz w:val="16"/>
                <w:szCs w:val="16"/>
              </w:rPr>
            </w:pPr>
            <w:r w:rsidRPr="00E0373F">
              <w:rPr>
                <w:rFonts w:ascii="Verdana" w:hAnsi="Verdana"/>
                <w:i/>
                <w:iCs/>
                <w:sz w:val="16"/>
                <w:szCs w:val="16"/>
              </w:rPr>
              <w:t>3.47%</w:t>
            </w:r>
          </w:p>
        </w:tc>
      </w:tr>
      <w:tr w:rsidR="00E0373F" w:rsidRPr="00E96DBC" w14:paraId="25732FCA" w14:textId="77777777" w:rsidTr="00E7657C">
        <w:trPr>
          <w:trHeight w:val="315"/>
        </w:trPr>
        <w:tc>
          <w:tcPr>
            <w:tcW w:w="2120" w:type="dxa"/>
            <w:tcBorders>
              <w:top w:val="nil"/>
              <w:left w:val="single" w:sz="8" w:space="0" w:color="000000"/>
              <w:bottom w:val="single" w:sz="8" w:space="0" w:color="auto"/>
              <w:right w:val="single" w:sz="8" w:space="0" w:color="000000"/>
            </w:tcBorders>
            <w:vAlign w:val="center"/>
            <w:hideMark/>
          </w:tcPr>
          <w:p w14:paraId="475DD0A2" w14:textId="7DD77170" w:rsidR="00E0373F" w:rsidRPr="00E0373F" w:rsidRDefault="00E0373F" w:rsidP="00E0373F">
            <w:pPr>
              <w:spacing w:after="0" w:line="240" w:lineRule="auto"/>
              <w:jc w:val="center"/>
              <w:rPr>
                <w:rFonts w:ascii="Verdana" w:hAnsi="Verdana"/>
                <w:i/>
                <w:iCs/>
                <w:color w:val="000000"/>
                <w:sz w:val="16"/>
                <w:szCs w:val="16"/>
              </w:rPr>
            </w:pPr>
            <w:r w:rsidRPr="00E0373F">
              <w:rPr>
                <w:rFonts w:ascii="Verdana" w:hAnsi="Verdana"/>
                <w:i/>
                <w:iCs/>
                <w:color w:val="000000"/>
                <w:sz w:val="16"/>
                <w:szCs w:val="16"/>
              </w:rPr>
              <w:t>S.A.</w:t>
            </w:r>
            <w:r w:rsidR="00E22D05" w:rsidRPr="00E0373F">
              <w:rPr>
                <w:rFonts w:ascii="Verdana" w:hAnsi="Verdana"/>
                <w:i/>
                <w:iCs/>
                <w:color w:val="000000"/>
                <w:sz w:val="16"/>
                <w:szCs w:val="16"/>
              </w:rPr>
              <w:t>F.P</w:t>
            </w:r>
            <w:r w:rsidR="00E22D05">
              <w:rPr>
                <w:rFonts w:ascii="Verdana" w:hAnsi="Verdana"/>
                <w:i/>
                <w:iCs/>
                <w:color w:val="000000"/>
                <w:sz w:val="16"/>
                <w:szCs w:val="16"/>
              </w:rPr>
              <w:t>.</w:t>
            </w:r>
          </w:p>
        </w:tc>
        <w:tc>
          <w:tcPr>
            <w:tcW w:w="1380" w:type="dxa"/>
            <w:tcBorders>
              <w:top w:val="nil"/>
              <w:left w:val="nil"/>
              <w:bottom w:val="single" w:sz="8" w:space="0" w:color="auto"/>
              <w:right w:val="single" w:sz="8" w:space="0" w:color="000000"/>
            </w:tcBorders>
            <w:vAlign w:val="center"/>
            <w:hideMark/>
          </w:tcPr>
          <w:p w14:paraId="7519C272" w14:textId="77777777" w:rsidR="00E0373F" w:rsidRPr="00E0373F" w:rsidRDefault="00E0373F" w:rsidP="00E0373F">
            <w:pPr>
              <w:spacing w:after="0" w:line="240" w:lineRule="auto"/>
              <w:jc w:val="center"/>
              <w:rPr>
                <w:rFonts w:ascii="Verdana" w:hAnsi="Verdana"/>
                <w:i/>
                <w:iCs/>
                <w:color w:val="000000"/>
                <w:sz w:val="16"/>
                <w:szCs w:val="16"/>
              </w:rPr>
            </w:pPr>
            <w:r w:rsidRPr="00E0373F">
              <w:rPr>
                <w:rFonts w:ascii="Verdana" w:hAnsi="Verdana"/>
                <w:i/>
                <w:iCs/>
                <w:color w:val="000000"/>
                <w:sz w:val="16"/>
                <w:szCs w:val="16"/>
              </w:rPr>
              <w:t>3,149</w:t>
            </w:r>
          </w:p>
        </w:tc>
        <w:tc>
          <w:tcPr>
            <w:tcW w:w="1380" w:type="dxa"/>
            <w:tcBorders>
              <w:top w:val="nil"/>
              <w:left w:val="nil"/>
              <w:bottom w:val="single" w:sz="8" w:space="0" w:color="auto"/>
              <w:right w:val="single" w:sz="8" w:space="0" w:color="000000"/>
            </w:tcBorders>
            <w:vAlign w:val="center"/>
            <w:hideMark/>
          </w:tcPr>
          <w:p w14:paraId="78458952" w14:textId="77777777" w:rsidR="00E0373F" w:rsidRPr="00E0373F" w:rsidRDefault="00E0373F" w:rsidP="00E0373F">
            <w:pPr>
              <w:spacing w:after="0" w:line="240" w:lineRule="auto"/>
              <w:jc w:val="center"/>
              <w:rPr>
                <w:rFonts w:ascii="Verdana" w:hAnsi="Verdana"/>
                <w:i/>
                <w:iCs/>
                <w:color w:val="000000"/>
                <w:sz w:val="16"/>
                <w:szCs w:val="16"/>
              </w:rPr>
            </w:pPr>
            <w:r w:rsidRPr="00E0373F">
              <w:rPr>
                <w:rFonts w:ascii="Verdana" w:hAnsi="Verdana"/>
                <w:i/>
                <w:iCs/>
                <w:color w:val="000000"/>
                <w:sz w:val="16"/>
                <w:szCs w:val="16"/>
              </w:rPr>
              <w:t>1,869</w:t>
            </w:r>
          </w:p>
        </w:tc>
        <w:tc>
          <w:tcPr>
            <w:tcW w:w="1380" w:type="dxa"/>
            <w:tcBorders>
              <w:top w:val="nil"/>
              <w:left w:val="nil"/>
              <w:bottom w:val="single" w:sz="8" w:space="0" w:color="auto"/>
              <w:right w:val="single" w:sz="8" w:space="0" w:color="000000"/>
            </w:tcBorders>
            <w:vAlign w:val="center"/>
            <w:hideMark/>
          </w:tcPr>
          <w:p w14:paraId="1EB1FD03" w14:textId="77777777" w:rsidR="00E0373F" w:rsidRPr="00E0373F" w:rsidRDefault="00E0373F" w:rsidP="00E0373F">
            <w:pPr>
              <w:spacing w:after="0" w:line="240" w:lineRule="auto"/>
              <w:jc w:val="center"/>
              <w:rPr>
                <w:rFonts w:ascii="Verdana" w:hAnsi="Verdana"/>
                <w:i/>
                <w:iCs/>
                <w:sz w:val="16"/>
                <w:szCs w:val="16"/>
              </w:rPr>
            </w:pPr>
            <w:r w:rsidRPr="00E0373F">
              <w:rPr>
                <w:rFonts w:ascii="Verdana" w:hAnsi="Verdana"/>
                <w:i/>
                <w:iCs/>
                <w:sz w:val="16"/>
                <w:szCs w:val="16"/>
              </w:rPr>
              <w:t>59.35%</w:t>
            </w:r>
          </w:p>
        </w:tc>
        <w:tc>
          <w:tcPr>
            <w:tcW w:w="1380" w:type="dxa"/>
            <w:tcBorders>
              <w:top w:val="nil"/>
              <w:left w:val="nil"/>
              <w:bottom w:val="single" w:sz="8" w:space="0" w:color="auto"/>
              <w:right w:val="single" w:sz="8" w:space="0" w:color="000000"/>
            </w:tcBorders>
            <w:vAlign w:val="center"/>
            <w:hideMark/>
          </w:tcPr>
          <w:p w14:paraId="2D44170F" w14:textId="77777777" w:rsidR="00E0373F" w:rsidRPr="00E0373F" w:rsidRDefault="00E0373F" w:rsidP="00E0373F">
            <w:pPr>
              <w:spacing w:after="0" w:line="240" w:lineRule="auto"/>
              <w:jc w:val="center"/>
              <w:rPr>
                <w:rFonts w:ascii="Verdana" w:hAnsi="Verdana"/>
                <w:i/>
                <w:iCs/>
                <w:color w:val="000000"/>
                <w:sz w:val="16"/>
                <w:szCs w:val="16"/>
              </w:rPr>
            </w:pPr>
            <w:r w:rsidRPr="00E0373F">
              <w:rPr>
                <w:rFonts w:ascii="Verdana" w:hAnsi="Verdana"/>
                <w:i/>
                <w:iCs/>
                <w:color w:val="000000"/>
                <w:sz w:val="16"/>
                <w:szCs w:val="16"/>
              </w:rPr>
              <w:t>90</w:t>
            </w:r>
          </w:p>
        </w:tc>
        <w:tc>
          <w:tcPr>
            <w:tcW w:w="1380" w:type="dxa"/>
            <w:tcBorders>
              <w:top w:val="nil"/>
              <w:left w:val="nil"/>
              <w:bottom w:val="single" w:sz="8" w:space="0" w:color="auto"/>
              <w:right w:val="single" w:sz="8" w:space="0" w:color="000000"/>
            </w:tcBorders>
            <w:vAlign w:val="center"/>
            <w:hideMark/>
          </w:tcPr>
          <w:p w14:paraId="2835726B" w14:textId="77777777" w:rsidR="00E0373F" w:rsidRPr="00E0373F" w:rsidRDefault="00E0373F" w:rsidP="00E0373F">
            <w:pPr>
              <w:spacing w:after="0" w:line="240" w:lineRule="auto"/>
              <w:jc w:val="center"/>
              <w:rPr>
                <w:rFonts w:ascii="Verdana" w:hAnsi="Verdana"/>
                <w:i/>
                <w:iCs/>
                <w:sz w:val="16"/>
                <w:szCs w:val="16"/>
              </w:rPr>
            </w:pPr>
            <w:r w:rsidRPr="00E0373F">
              <w:rPr>
                <w:rFonts w:ascii="Verdana" w:hAnsi="Verdana"/>
                <w:i/>
                <w:iCs/>
                <w:sz w:val="16"/>
                <w:szCs w:val="16"/>
              </w:rPr>
              <w:t>2.86%</w:t>
            </w:r>
          </w:p>
        </w:tc>
      </w:tr>
      <w:tr w:rsidR="00E0373F" w:rsidRPr="00E96DBC" w14:paraId="42B54FE9" w14:textId="77777777" w:rsidTr="00E7657C">
        <w:trPr>
          <w:trHeight w:val="585"/>
        </w:trPr>
        <w:tc>
          <w:tcPr>
            <w:tcW w:w="2120" w:type="dxa"/>
            <w:tcBorders>
              <w:top w:val="nil"/>
              <w:left w:val="single" w:sz="8" w:space="0" w:color="000000"/>
              <w:bottom w:val="single" w:sz="8" w:space="0" w:color="auto"/>
              <w:right w:val="single" w:sz="8" w:space="0" w:color="000000"/>
            </w:tcBorders>
            <w:vAlign w:val="center"/>
            <w:hideMark/>
          </w:tcPr>
          <w:p w14:paraId="4EFD25B5" w14:textId="77777777" w:rsidR="00E0373F" w:rsidRPr="00E0373F" w:rsidRDefault="00E0373F" w:rsidP="00E0373F">
            <w:pPr>
              <w:spacing w:after="0" w:line="240" w:lineRule="auto"/>
              <w:ind w:firstLineChars="100" w:firstLine="161"/>
              <w:rPr>
                <w:rFonts w:ascii="Verdana" w:hAnsi="Verdana"/>
                <w:b/>
                <w:bCs/>
                <w:color w:val="000000"/>
                <w:sz w:val="16"/>
                <w:szCs w:val="16"/>
              </w:rPr>
            </w:pPr>
            <w:r w:rsidRPr="00E0373F">
              <w:rPr>
                <w:rFonts w:ascii="Verdana" w:hAnsi="Verdana"/>
                <w:b/>
                <w:bCs/>
                <w:color w:val="000000"/>
                <w:sz w:val="16"/>
                <w:szCs w:val="16"/>
              </w:rPr>
              <w:t>Total Incarceration</w:t>
            </w:r>
          </w:p>
        </w:tc>
        <w:tc>
          <w:tcPr>
            <w:tcW w:w="1380" w:type="dxa"/>
            <w:tcBorders>
              <w:top w:val="nil"/>
              <w:left w:val="nil"/>
              <w:bottom w:val="single" w:sz="8" w:space="0" w:color="auto"/>
              <w:right w:val="single" w:sz="8" w:space="0" w:color="000000"/>
            </w:tcBorders>
            <w:vAlign w:val="center"/>
            <w:hideMark/>
          </w:tcPr>
          <w:p w14:paraId="609C7BFA" w14:textId="77777777" w:rsidR="00E0373F" w:rsidRPr="00E0373F" w:rsidRDefault="00E0373F" w:rsidP="00E0373F">
            <w:pPr>
              <w:spacing w:after="0" w:line="240" w:lineRule="auto"/>
              <w:jc w:val="center"/>
              <w:rPr>
                <w:rFonts w:ascii="Verdana" w:hAnsi="Verdana"/>
                <w:b/>
                <w:bCs/>
                <w:color w:val="000000"/>
                <w:sz w:val="16"/>
                <w:szCs w:val="16"/>
              </w:rPr>
            </w:pPr>
            <w:r w:rsidRPr="00E0373F">
              <w:rPr>
                <w:rFonts w:ascii="Verdana" w:hAnsi="Verdana"/>
                <w:b/>
                <w:bCs/>
                <w:color w:val="000000"/>
                <w:sz w:val="16"/>
                <w:szCs w:val="16"/>
              </w:rPr>
              <w:t>140,741</w:t>
            </w:r>
          </w:p>
        </w:tc>
        <w:tc>
          <w:tcPr>
            <w:tcW w:w="1380" w:type="dxa"/>
            <w:tcBorders>
              <w:top w:val="nil"/>
              <w:left w:val="nil"/>
              <w:bottom w:val="single" w:sz="8" w:space="0" w:color="auto"/>
              <w:right w:val="single" w:sz="8" w:space="0" w:color="000000"/>
            </w:tcBorders>
            <w:vAlign w:val="center"/>
            <w:hideMark/>
          </w:tcPr>
          <w:p w14:paraId="6E4CFCE2" w14:textId="77777777" w:rsidR="00E0373F" w:rsidRPr="00E0373F" w:rsidRDefault="00E0373F" w:rsidP="00E0373F">
            <w:pPr>
              <w:spacing w:after="0" w:line="240" w:lineRule="auto"/>
              <w:jc w:val="center"/>
              <w:rPr>
                <w:rFonts w:ascii="Verdana" w:hAnsi="Verdana"/>
                <w:b/>
                <w:bCs/>
                <w:sz w:val="16"/>
                <w:szCs w:val="16"/>
              </w:rPr>
            </w:pPr>
            <w:r w:rsidRPr="00E0373F">
              <w:rPr>
                <w:rFonts w:ascii="Verdana" w:hAnsi="Verdana"/>
                <w:b/>
                <w:bCs/>
                <w:sz w:val="16"/>
                <w:szCs w:val="16"/>
              </w:rPr>
              <w:t>62,282</w:t>
            </w:r>
          </w:p>
        </w:tc>
        <w:tc>
          <w:tcPr>
            <w:tcW w:w="1380" w:type="dxa"/>
            <w:tcBorders>
              <w:top w:val="nil"/>
              <w:left w:val="nil"/>
              <w:bottom w:val="single" w:sz="8" w:space="0" w:color="auto"/>
              <w:right w:val="single" w:sz="8" w:space="0" w:color="000000"/>
            </w:tcBorders>
            <w:vAlign w:val="center"/>
            <w:hideMark/>
          </w:tcPr>
          <w:p w14:paraId="1A8E6CDB" w14:textId="77777777" w:rsidR="00E0373F" w:rsidRPr="00E0373F" w:rsidRDefault="00E0373F" w:rsidP="00E0373F">
            <w:pPr>
              <w:spacing w:after="0" w:line="240" w:lineRule="auto"/>
              <w:jc w:val="center"/>
              <w:rPr>
                <w:rFonts w:ascii="Verdana" w:hAnsi="Verdana"/>
                <w:b/>
                <w:bCs/>
                <w:sz w:val="16"/>
                <w:szCs w:val="16"/>
              </w:rPr>
            </w:pPr>
            <w:r w:rsidRPr="00E0373F">
              <w:rPr>
                <w:rFonts w:ascii="Verdana" w:hAnsi="Verdana"/>
                <w:b/>
                <w:bCs/>
                <w:sz w:val="16"/>
                <w:szCs w:val="16"/>
              </w:rPr>
              <w:t>44.25%</w:t>
            </w:r>
          </w:p>
        </w:tc>
        <w:tc>
          <w:tcPr>
            <w:tcW w:w="1380" w:type="dxa"/>
            <w:tcBorders>
              <w:top w:val="nil"/>
              <w:left w:val="nil"/>
              <w:bottom w:val="single" w:sz="8" w:space="0" w:color="auto"/>
              <w:right w:val="single" w:sz="8" w:space="0" w:color="000000"/>
            </w:tcBorders>
            <w:vAlign w:val="center"/>
            <w:hideMark/>
          </w:tcPr>
          <w:p w14:paraId="64F2BFAF" w14:textId="77777777" w:rsidR="00E0373F" w:rsidRPr="00E0373F" w:rsidRDefault="00E0373F" w:rsidP="00E0373F">
            <w:pPr>
              <w:spacing w:after="0" w:line="240" w:lineRule="auto"/>
              <w:jc w:val="center"/>
              <w:rPr>
                <w:rFonts w:ascii="Verdana" w:hAnsi="Verdana"/>
                <w:b/>
                <w:bCs/>
                <w:sz w:val="16"/>
                <w:szCs w:val="16"/>
              </w:rPr>
            </w:pPr>
            <w:r w:rsidRPr="00E0373F">
              <w:rPr>
                <w:rFonts w:ascii="Verdana" w:hAnsi="Verdana"/>
                <w:b/>
                <w:bCs/>
                <w:sz w:val="16"/>
                <w:szCs w:val="16"/>
              </w:rPr>
              <w:t>6,799</w:t>
            </w:r>
          </w:p>
        </w:tc>
        <w:tc>
          <w:tcPr>
            <w:tcW w:w="1380" w:type="dxa"/>
            <w:tcBorders>
              <w:top w:val="nil"/>
              <w:left w:val="nil"/>
              <w:bottom w:val="single" w:sz="8" w:space="0" w:color="auto"/>
              <w:right w:val="single" w:sz="8" w:space="0" w:color="000000"/>
            </w:tcBorders>
            <w:vAlign w:val="center"/>
            <w:hideMark/>
          </w:tcPr>
          <w:p w14:paraId="4FB08A45" w14:textId="77777777" w:rsidR="00E0373F" w:rsidRPr="00E0373F" w:rsidRDefault="00E0373F" w:rsidP="00E0373F">
            <w:pPr>
              <w:spacing w:after="0" w:line="240" w:lineRule="auto"/>
              <w:jc w:val="center"/>
              <w:rPr>
                <w:rFonts w:ascii="Verdana" w:hAnsi="Verdana"/>
                <w:b/>
                <w:bCs/>
                <w:sz w:val="16"/>
                <w:szCs w:val="16"/>
              </w:rPr>
            </w:pPr>
            <w:r w:rsidRPr="00E0373F">
              <w:rPr>
                <w:rFonts w:ascii="Verdana" w:hAnsi="Verdana"/>
                <w:b/>
                <w:bCs/>
                <w:sz w:val="16"/>
                <w:szCs w:val="16"/>
              </w:rPr>
              <w:t>4.83%</w:t>
            </w:r>
          </w:p>
        </w:tc>
      </w:tr>
      <w:tr w:rsidR="00E0373F" w:rsidRPr="00E96DBC" w14:paraId="1738F768" w14:textId="77777777" w:rsidTr="00E7657C">
        <w:trPr>
          <w:trHeight w:val="300"/>
        </w:trPr>
        <w:tc>
          <w:tcPr>
            <w:tcW w:w="2120" w:type="dxa"/>
            <w:tcBorders>
              <w:top w:val="nil"/>
              <w:left w:val="nil"/>
              <w:bottom w:val="nil"/>
              <w:right w:val="nil"/>
            </w:tcBorders>
            <w:shd w:val="clear" w:color="000000" w:fill="FFFFFF"/>
            <w:noWrap/>
            <w:vAlign w:val="bottom"/>
            <w:hideMark/>
          </w:tcPr>
          <w:p w14:paraId="40C76520" w14:textId="77777777" w:rsidR="00E0373F" w:rsidRPr="00E0373F" w:rsidRDefault="00E0373F" w:rsidP="00E0373F">
            <w:pPr>
              <w:spacing w:after="0" w:line="240" w:lineRule="auto"/>
              <w:rPr>
                <w:rFonts w:ascii="Verdana" w:hAnsi="Verdana" w:cs="Arial"/>
                <w:sz w:val="16"/>
                <w:szCs w:val="16"/>
              </w:rPr>
            </w:pPr>
            <w:r w:rsidRPr="00E0373F">
              <w:rPr>
                <w:rFonts w:ascii="Verdana" w:hAnsi="Verdana" w:cs="Arial"/>
                <w:sz w:val="16"/>
                <w:szCs w:val="16"/>
              </w:rPr>
              <w:t> </w:t>
            </w:r>
          </w:p>
        </w:tc>
        <w:tc>
          <w:tcPr>
            <w:tcW w:w="1380" w:type="dxa"/>
            <w:tcBorders>
              <w:top w:val="nil"/>
              <w:left w:val="nil"/>
              <w:bottom w:val="nil"/>
              <w:right w:val="nil"/>
            </w:tcBorders>
            <w:shd w:val="clear" w:color="000000" w:fill="FFFFFF"/>
            <w:noWrap/>
            <w:vAlign w:val="bottom"/>
            <w:hideMark/>
          </w:tcPr>
          <w:p w14:paraId="3C7F6167" w14:textId="77777777" w:rsidR="00E0373F" w:rsidRPr="00E0373F" w:rsidRDefault="00E0373F" w:rsidP="00E0373F">
            <w:pPr>
              <w:spacing w:after="0" w:line="240" w:lineRule="auto"/>
              <w:rPr>
                <w:rFonts w:ascii="Verdana" w:hAnsi="Verdana" w:cs="Arial"/>
                <w:sz w:val="16"/>
                <w:szCs w:val="16"/>
              </w:rPr>
            </w:pPr>
            <w:r w:rsidRPr="00E0373F">
              <w:rPr>
                <w:rFonts w:ascii="Verdana" w:hAnsi="Verdana" w:cs="Arial"/>
                <w:sz w:val="16"/>
                <w:szCs w:val="16"/>
              </w:rPr>
              <w:t> </w:t>
            </w:r>
          </w:p>
        </w:tc>
        <w:tc>
          <w:tcPr>
            <w:tcW w:w="1380" w:type="dxa"/>
            <w:tcBorders>
              <w:top w:val="nil"/>
              <w:left w:val="nil"/>
              <w:bottom w:val="nil"/>
              <w:right w:val="nil"/>
            </w:tcBorders>
            <w:shd w:val="clear" w:color="000000" w:fill="FFFFFF"/>
            <w:noWrap/>
            <w:vAlign w:val="center"/>
            <w:hideMark/>
          </w:tcPr>
          <w:p w14:paraId="7DC89204" w14:textId="77777777" w:rsidR="00E0373F" w:rsidRPr="00E0373F" w:rsidRDefault="00E0373F" w:rsidP="00E0373F">
            <w:pPr>
              <w:spacing w:after="0" w:line="240" w:lineRule="auto"/>
              <w:jc w:val="center"/>
              <w:rPr>
                <w:rFonts w:ascii="Verdana" w:hAnsi="Verdana" w:cs="Arial"/>
                <w:b/>
                <w:bCs/>
                <w:sz w:val="16"/>
                <w:szCs w:val="16"/>
              </w:rPr>
            </w:pPr>
            <w:r w:rsidRPr="00E0373F">
              <w:rPr>
                <w:rFonts w:ascii="Verdana" w:hAnsi="Verdana" w:cs="Arial"/>
                <w:b/>
                <w:bCs/>
                <w:sz w:val="16"/>
                <w:szCs w:val="16"/>
              </w:rPr>
              <w:t>169,945</w:t>
            </w:r>
          </w:p>
        </w:tc>
        <w:tc>
          <w:tcPr>
            <w:tcW w:w="1380" w:type="dxa"/>
            <w:tcBorders>
              <w:top w:val="nil"/>
              <w:left w:val="nil"/>
              <w:bottom w:val="nil"/>
              <w:right w:val="nil"/>
            </w:tcBorders>
            <w:shd w:val="clear" w:color="000000" w:fill="FFFFFF"/>
            <w:noWrap/>
            <w:vAlign w:val="bottom"/>
            <w:hideMark/>
          </w:tcPr>
          <w:p w14:paraId="1296AF59" w14:textId="77777777" w:rsidR="00E0373F" w:rsidRPr="00E0373F" w:rsidRDefault="00E0373F" w:rsidP="00E0373F">
            <w:pPr>
              <w:spacing w:after="0" w:line="240" w:lineRule="auto"/>
              <w:rPr>
                <w:rFonts w:ascii="Verdana" w:hAnsi="Verdana" w:cs="Arial"/>
                <w:sz w:val="16"/>
                <w:szCs w:val="16"/>
              </w:rPr>
            </w:pPr>
            <w:r w:rsidRPr="00E0373F">
              <w:rPr>
                <w:rFonts w:ascii="Verdana" w:hAnsi="Verdana" w:cs="Arial"/>
                <w:sz w:val="16"/>
                <w:szCs w:val="16"/>
              </w:rPr>
              <w:t> </w:t>
            </w:r>
          </w:p>
        </w:tc>
        <w:tc>
          <w:tcPr>
            <w:tcW w:w="1380" w:type="dxa"/>
            <w:tcBorders>
              <w:top w:val="nil"/>
              <w:left w:val="nil"/>
              <w:bottom w:val="nil"/>
              <w:right w:val="nil"/>
            </w:tcBorders>
            <w:shd w:val="clear" w:color="000000" w:fill="FFFFFF"/>
            <w:noWrap/>
            <w:vAlign w:val="center"/>
            <w:hideMark/>
          </w:tcPr>
          <w:p w14:paraId="39D1A19B" w14:textId="77777777" w:rsidR="00E0373F" w:rsidRPr="00E0373F" w:rsidRDefault="00E0373F" w:rsidP="00E0373F">
            <w:pPr>
              <w:spacing w:after="0" w:line="240" w:lineRule="auto"/>
              <w:jc w:val="center"/>
              <w:rPr>
                <w:rFonts w:ascii="Verdana" w:hAnsi="Verdana" w:cs="Arial"/>
                <w:b/>
                <w:bCs/>
                <w:sz w:val="16"/>
                <w:szCs w:val="16"/>
              </w:rPr>
            </w:pPr>
            <w:r w:rsidRPr="00E0373F">
              <w:rPr>
                <w:rFonts w:ascii="Verdana" w:hAnsi="Verdana" w:cs="Arial"/>
                <w:b/>
                <w:bCs/>
                <w:sz w:val="16"/>
                <w:szCs w:val="16"/>
              </w:rPr>
              <w:t>17,311</w:t>
            </w:r>
          </w:p>
        </w:tc>
        <w:tc>
          <w:tcPr>
            <w:tcW w:w="1380" w:type="dxa"/>
            <w:tcBorders>
              <w:top w:val="nil"/>
              <w:left w:val="nil"/>
              <w:bottom w:val="nil"/>
              <w:right w:val="nil"/>
            </w:tcBorders>
            <w:shd w:val="clear" w:color="000000" w:fill="FFFFFF"/>
            <w:noWrap/>
            <w:vAlign w:val="bottom"/>
            <w:hideMark/>
          </w:tcPr>
          <w:p w14:paraId="3A317A98" w14:textId="77777777" w:rsidR="00E0373F" w:rsidRPr="00E0373F" w:rsidRDefault="00E0373F" w:rsidP="00E0373F">
            <w:pPr>
              <w:spacing w:after="0" w:line="240" w:lineRule="auto"/>
              <w:rPr>
                <w:rFonts w:ascii="Verdana" w:hAnsi="Verdana" w:cs="Arial"/>
                <w:sz w:val="16"/>
                <w:szCs w:val="16"/>
              </w:rPr>
            </w:pPr>
            <w:r w:rsidRPr="00E0373F">
              <w:rPr>
                <w:rFonts w:ascii="Verdana" w:hAnsi="Verdana" w:cs="Arial"/>
                <w:sz w:val="16"/>
                <w:szCs w:val="16"/>
              </w:rPr>
              <w:t> </w:t>
            </w:r>
          </w:p>
        </w:tc>
      </w:tr>
    </w:tbl>
    <w:p w14:paraId="6F23C6F9" w14:textId="784BCE4B" w:rsidR="003A4EF8" w:rsidRPr="00604519" w:rsidRDefault="003A4EF8" w:rsidP="003A4EF8">
      <w:pPr>
        <w:jc w:val="center"/>
      </w:pPr>
    </w:p>
    <w:p w14:paraId="69FF55E1" w14:textId="72F27ACF" w:rsidR="00203866" w:rsidRDefault="00DB6CDA" w:rsidP="00203866">
      <w:pPr>
        <w:pStyle w:val="Heading2"/>
        <w:numPr>
          <w:ilvl w:val="0"/>
          <w:numId w:val="23"/>
        </w:numPr>
      </w:pPr>
      <w:bookmarkStart w:id="12" w:name="_Toc218762050"/>
      <w:r>
        <w:t xml:space="preserve">Health </w:t>
      </w:r>
      <w:r w:rsidR="00461F2B">
        <w:t>Services Division</w:t>
      </w:r>
      <w:bookmarkEnd w:id="12"/>
    </w:p>
    <w:p w14:paraId="0CFE474C" w14:textId="1FC2DEB6" w:rsidR="00604519" w:rsidRPr="00A53822" w:rsidRDefault="00604519" w:rsidP="00604519">
      <w:pPr>
        <w:ind w:left="630"/>
        <w:rPr>
          <w:rFonts w:ascii="Verdana" w:hAnsi="Verdana"/>
          <w:sz w:val="24"/>
          <w:szCs w:val="24"/>
        </w:rPr>
      </w:pPr>
      <w:bookmarkStart w:id="13" w:name="_Hlk203142755"/>
      <w:r w:rsidRPr="00B637EE">
        <w:rPr>
          <w:rFonts w:ascii="Verdana" w:hAnsi="Verdana"/>
          <w:sz w:val="24"/>
          <w:szCs w:val="24"/>
        </w:rPr>
        <w:t xml:space="preserve">As of </w:t>
      </w:r>
      <w:r>
        <w:rPr>
          <w:rFonts w:ascii="Verdana" w:hAnsi="Verdana"/>
          <w:sz w:val="24"/>
          <w:szCs w:val="24"/>
        </w:rPr>
        <w:t>November</w:t>
      </w:r>
      <w:r w:rsidRPr="00B637EE">
        <w:rPr>
          <w:rFonts w:ascii="Verdana" w:hAnsi="Verdana"/>
          <w:sz w:val="24"/>
          <w:szCs w:val="24"/>
        </w:rPr>
        <w:t xml:space="preserve"> 3</w:t>
      </w:r>
      <w:r>
        <w:rPr>
          <w:rFonts w:ascii="Verdana" w:hAnsi="Verdana"/>
          <w:sz w:val="24"/>
          <w:szCs w:val="24"/>
        </w:rPr>
        <w:t>0</w:t>
      </w:r>
      <w:r w:rsidRPr="00B637EE">
        <w:rPr>
          <w:rFonts w:ascii="Verdana" w:hAnsi="Verdana"/>
          <w:sz w:val="24"/>
          <w:szCs w:val="24"/>
        </w:rPr>
        <w:t xml:space="preserve">, 2025 the TDCJ </w:t>
      </w:r>
      <w:r>
        <w:rPr>
          <w:rFonts w:ascii="Verdana" w:hAnsi="Verdana"/>
          <w:sz w:val="24"/>
          <w:szCs w:val="24"/>
        </w:rPr>
        <w:t xml:space="preserve">inmate population with physical disabilities </w:t>
      </w:r>
      <w:r w:rsidRPr="00A53822">
        <w:rPr>
          <w:rFonts w:ascii="Verdana" w:hAnsi="Verdana"/>
          <w:sz w:val="24"/>
          <w:szCs w:val="24"/>
        </w:rPr>
        <w:t>was 1,4</w:t>
      </w:r>
      <w:r w:rsidR="00A53822" w:rsidRPr="00A53822">
        <w:rPr>
          <w:rFonts w:ascii="Verdana" w:hAnsi="Verdana"/>
          <w:sz w:val="24"/>
          <w:szCs w:val="24"/>
        </w:rPr>
        <w:t>77</w:t>
      </w:r>
      <w:r w:rsidRPr="00A53822">
        <w:rPr>
          <w:rFonts w:ascii="Verdana" w:hAnsi="Verdana"/>
          <w:sz w:val="24"/>
          <w:szCs w:val="24"/>
        </w:rPr>
        <w:t>.</w:t>
      </w:r>
    </w:p>
    <w:p w14:paraId="1201E649" w14:textId="77777777" w:rsidR="00604519" w:rsidRPr="00A53822" w:rsidRDefault="00604519" w:rsidP="00604519">
      <w:pPr>
        <w:pStyle w:val="ListParagraph"/>
        <w:numPr>
          <w:ilvl w:val="0"/>
          <w:numId w:val="24"/>
        </w:numPr>
        <w:rPr>
          <w:rFonts w:ascii="Verdana" w:hAnsi="Verdana" w:cstheme="minorBidi"/>
          <w:sz w:val="24"/>
          <w:szCs w:val="24"/>
        </w:rPr>
      </w:pPr>
      <w:r w:rsidRPr="00A53822">
        <w:rPr>
          <w:rFonts w:ascii="Verdana" w:hAnsi="Verdana" w:cstheme="minorBidi"/>
          <w:sz w:val="24"/>
          <w:szCs w:val="24"/>
        </w:rPr>
        <w:t>Vision</w:t>
      </w:r>
      <w:r w:rsidRPr="00A53822">
        <w:rPr>
          <w:rFonts w:ascii="Verdana" w:hAnsi="Verdana" w:cstheme="minorBidi"/>
          <w:sz w:val="24"/>
          <w:szCs w:val="24"/>
        </w:rPr>
        <w:tab/>
      </w:r>
      <w:r w:rsidRPr="00A53822">
        <w:rPr>
          <w:rFonts w:ascii="Verdana" w:hAnsi="Verdana" w:cstheme="minorBidi"/>
          <w:sz w:val="24"/>
          <w:szCs w:val="24"/>
        </w:rPr>
        <w:tab/>
        <w:t>278</w:t>
      </w:r>
    </w:p>
    <w:p w14:paraId="6DEC306B" w14:textId="2FEE4B10" w:rsidR="00604519" w:rsidRPr="00B637EE" w:rsidRDefault="00604519" w:rsidP="00604519">
      <w:pPr>
        <w:pStyle w:val="ListParagraph"/>
        <w:numPr>
          <w:ilvl w:val="0"/>
          <w:numId w:val="24"/>
        </w:numPr>
        <w:rPr>
          <w:rFonts w:ascii="Verdana" w:hAnsi="Verdana" w:cstheme="minorBidi"/>
          <w:sz w:val="24"/>
          <w:szCs w:val="24"/>
        </w:rPr>
      </w:pPr>
      <w:r w:rsidRPr="00B637EE">
        <w:rPr>
          <w:rFonts w:ascii="Verdana" w:hAnsi="Verdana" w:cstheme="minorBidi"/>
          <w:sz w:val="24"/>
          <w:szCs w:val="24"/>
        </w:rPr>
        <w:t>Hearing</w:t>
      </w:r>
      <w:r w:rsidRPr="00B637EE">
        <w:rPr>
          <w:rFonts w:ascii="Verdana" w:hAnsi="Verdana" w:cstheme="minorBidi"/>
          <w:sz w:val="24"/>
          <w:szCs w:val="24"/>
        </w:rPr>
        <w:tab/>
      </w:r>
      <w:r w:rsidR="00A53822">
        <w:rPr>
          <w:rFonts w:ascii="Verdana" w:hAnsi="Verdana" w:cstheme="minorBidi"/>
          <w:sz w:val="24"/>
          <w:szCs w:val="24"/>
        </w:rPr>
        <w:t>495</w:t>
      </w:r>
    </w:p>
    <w:p w14:paraId="190A7807" w14:textId="222A8FFB" w:rsidR="00604519" w:rsidRPr="00B637EE" w:rsidRDefault="00604519" w:rsidP="00604519">
      <w:pPr>
        <w:pStyle w:val="ListParagraph"/>
        <w:numPr>
          <w:ilvl w:val="0"/>
          <w:numId w:val="24"/>
        </w:numPr>
        <w:rPr>
          <w:rFonts w:ascii="Verdana" w:hAnsi="Verdana" w:cstheme="minorBidi"/>
          <w:sz w:val="24"/>
          <w:szCs w:val="24"/>
        </w:rPr>
      </w:pPr>
      <w:r w:rsidRPr="00B637EE">
        <w:rPr>
          <w:rFonts w:ascii="Verdana" w:hAnsi="Verdana" w:cstheme="minorBidi"/>
          <w:sz w:val="24"/>
          <w:szCs w:val="24"/>
        </w:rPr>
        <w:t>Speech</w:t>
      </w:r>
      <w:r w:rsidRPr="00B637EE">
        <w:rPr>
          <w:rFonts w:ascii="Verdana" w:hAnsi="Verdana" w:cstheme="minorBidi"/>
          <w:sz w:val="24"/>
          <w:szCs w:val="24"/>
        </w:rPr>
        <w:tab/>
        <w:t xml:space="preserve">  </w:t>
      </w:r>
      <w:r w:rsidR="00A53822">
        <w:rPr>
          <w:rFonts w:ascii="Verdana" w:hAnsi="Verdana" w:cstheme="minorBidi"/>
          <w:sz w:val="24"/>
          <w:szCs w:val="24"/>
        </w:rPr>
        <w:t>34</w:t>
      </w:r>
    </w:p>
    <w:p w14:paraId="41AB6176" w14:textId="0744EB0B" w:rsidR="00604519" w:rsidRPr="00496AC9" w:rsidRDefault="00604519" w:rsidP="00604519">
      <w:pPr>
        <w:pStyle w:val="ListParagraph"/>
        <w:numPr>
          <w:ilvl w:val="0"/>
          <w:numId w:val="24"/>
        </w:numPr>
        <w:rPr>
          <w:rFonts w:ascii="Verdana" w:hAnsi="Verdana" w:cstheme="minorBidi"/>
          <w:sz w:val="24"/>
          <w:szCs w:val="24"/>
        </w:rPr>
      </w:pPr>
      <w:r w:rsidRPr="00B637EE">
        <w:rPr>
          <w:rFonts w:ascii="Verdana" w:hAnsi="Verdana" w:cstheme="minorBidi"/>
          <w:sz w:val="24"/>
          <w:szCs w:val="24"/>
        </w:rPr>
        <w:t>Mobility</w:t>
      </w:r>
      <w:r w:rsidRPr="00B637EE">
        <w:rPr>
          <w:rFonts w:ascii="Verdana" w:hAnsi="Verdana" w:cstheme="minorBidi"/>
          <w:sz w:val="24"/>
          <w:szCs w:val="24"/>
        </w:rPr>
        <w:tab/>
      </w:r>
      <w:r w:rsidR="00A53822">
        <w:rPr>
          <w:rFonts w:ascii="Verdana" w:hAnsi="Verdana" w:cstheme="minorBidi"/>
          <w:sz w:val="24"/>
          <w:szCs w:val="24"/>
        </w:rPr>
        <w:t>670</w:t>
      </w:r>
      <w:r w:rsidRPr="00B637EE">
        <w:rPr>
          <w:rFonts w:ascii="Verdana" w:hAnsi="Verdana" w:cstheme="minorBidi"/>
          <w:sz w:val="24"/>
          <w:szCs w:val="24"/>
        </w:rPr>
        <w:t xml:space="preserve"> (includes </w:t>
      </w:r>
      <w:r w:rsidR="00A53822">
        <w:rPr>
          <w:rFonts w:ascii="Verdana" w:hAnsi="Verdana" w:cstheme="minorBidi"/>
          <w:sz w:val="24"/>
          <w:szCs w:val="24"/>
        </w:rPr>
        <w:t>297</w:t>
      </w:r>
      <w:r w:rsidRPr="00B637EE">
        <w:rPr>
          <w:rFonts w:ascii="Verdana" w:hAnsi="Verdana" w:cstheme="minorBidi"/>
          <w:sz w:val="24"/>
          <w:szCs w:val="24"/>
        </w:rPr>
        <w:t xml:space="preserve"> in</w:t>
      </w:r>
      <w:r>
        <w:rPr>
          <w:rFonts w:ascii="Verdana" w:hAnsi="Verdana" w:cstheme="minorBidi"/>
          <w:sz w:val="24"/>
          <w:szCs w:val="24"/>
        </w:rPr>
        <w:t xml:space="preserve"> wheelchairs)</w:t>
      </w:r>
    </w:p>
    <w:p w14:paraId="620C8138" w14:textId="77777777" w:rsidR="004F0A13" w:rsidRPr="00D86420" w:rsidRDefault="004F0A13" w:rsidP="00D86420">
      <w:pPr>
        <w:pStyle w:val="Heading1"/>
        <w:rPr>
          <w:sz w:val="24"/>
          <w:szCs w:val="26"/>
        </w:rPr>
      </w:pPr>
      <w:bookmarkStart w:id="14" w:name="_Toc218762051"/>
      <w:bookmarkEnd w:id="13"/>
      <w:r>
        <w:t>Additional Information</w:t>
      </w:r>
      <w:bookmarkEnd w:id="14"/>
    </w:p>
    <w:p w14:paraId="14C63D34" w14:textId="643CCA8F" w:rsidR="00103BEB" w:rsidRPr="00240999" w:rsidRDefault="00E0373F">
      <w:pPr>
        <w:rPr>
          <w:rFonts w:ascii="Verdana" w:hAnsi="Verdana"/>
          <w:i/>
          <w:sz w:val="24"/>
          <w:szCs w:val="24"/>
        </w:rPr>
      </w:pPr>
      <w:r>
        <w:rPr>
          <w:rFonts w:ascii="Verdana" w:hAnsi="Verdana"/>
          <w:i/>
          <w:sz w:val="24"/>
          <w:szCs w:val="24"/>
        </w:rPr>
        <w:t>None at this time.</w:t>
      </w:r>
      <w:r w:rsidR="00604519">
        <w:rPr>
          <w:rFonts w:ascii="Verdana" w:hAnsi="Verdana"/>
          <w:i/>
          <w:sz w:val="24"/>
          <w:szCs w:val="24"/>
        </w:rPr>
        <w:t xml:space="preserve"> </w:t>
      </w:r>
    </w:p>
    <w:sectPr w:rsidR="00103BEB" w:rsidRPr="00240999" w:rsidSect="00084F08">
      <w:footerReference w:type="default" r:id="rId10"/>
      <w:footerReference w:type="first" r:id="rId11"/>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68DA8" w14:textId="77777777" w:rsidR="004E53A3" w:rsidRDefault="004E53A3" w:rsidP="0002387E">
      <w:pPr>
        <w:spacing w:after="0" w:line="240" w:lineRule="auto"/>
      </w:pPr>
      <w:r>
        <w:separator/>
      </w:r>
    </w:p>
  </w:endnote>
  <w:endnote w:type="continuationSeparator" w:id="0">
    <w:p w14:paraId="0505122E" w14:textId="77777777" w:rsidR="004E53A3" w:rsidRDefault="004E53A3" w:rsidP="000238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CC6FC" w14:textId="77777777" w:rsidR="00311FCF" w:rsidRDefault="00311FCF">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4568191"/>
      <w:docPartObj>
        <w:docPartGallery w:val="Page Numbers (Bottom of Page)"/>
        <w:docPartUnique/>
      </w:docPartObj>
    </w:sdtPr>
    <w:sdtEndPr>
      <w:rPr>
        <w:noProof/>
      </w:rPr>
    </w:sdtEndPr>
    <w:sdtContent>
      <w:p w14:paraId="77878F5B" w14:textId="77777777" w:rsidR="00311FCF" w:rsidRDefault="00311FCF" w:rsidP="00084F08">
        <w:pPr>
          <w:pStyle w:val="Footer"/>
          <w:jc w:val="right"/>
        </w:pPr>
        <w:r>
          <w:fldChar w:fldCharType="begin"/>
        </w:r>
        <w:r>
          <w:instrText xml:space="preserve"> PAGE   \* MERGEFORMAT </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DD78D" w14:textId="77777777" w:rsidR="004E53A3" w:rsidRDefault="004E53A3" w:rsidP="0002387E">
      <w:pPr>
        <w:spacing w:after="0" w:line="240" w:lineRule="auto"/>
      </w:pPr>
      <w:r>
        <w:separator/>
      </w:r>
    </w:p>
  </w:footnote>
  <w:footnote w:type="continuationSeparator" w:id="0">
    <w:p w14:paraId="3ED56013" w14:textId="77777777" w:rsidR="004E53A3" w:rsidRDefault="004E53A3" w:rsidP="000238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87C8B"/>
    <w:multiLevelType w:val="hybridMultilevel"/>
    <w:tmpl w:val="713EDD3C"/>
    <w:lvl w:ilvl="0" w:tplc="5EAE9B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A90CD9"/>
    <w:multiLevelType w:val="hybridMultilevel"/>
    <w:tmpl w:val="DA2E958A"/>
    <w:lvl w:ilvl="0" w:tplc="CD92EB1A">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E77E4F"/>
    <w:multiLevelType w:val="hybridMultilevel"/>
    <w:tmpl w:val="D5A4B1F2"/>
    <w:lvl w:ilvl="0" w:tplc="D8F81DBC">
      <w:start w:val="1"/>
      <w:numFmt w:val="lowerRoman"/>
      <w:lvlText w:val="%1."/>
      <w:lvlJc w:val="left"/>
      <w:pPr>
        <w:ind w:left="252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3EC7247"/>
    <w:multiLevelType w:val="hybridMultilevel"/>
    <w:tmpl w:val="E8103936"/>
    <w:lvl w:ilvl="0" w:tplc="717076FA">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4" w15:restartNumberingAfterBreak="0">
    <w:nsid w:val="153D0CEF"/>
    <w:multiLevelType w:val="hybridMultilevel"/>
    <w:tmpl w:val="C0401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FC085C"/>
    <w:multiLevelType w:val="hybridMultilevel"/>
    <w:tmpl w:val="DE3AF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94389"/>
    <w:multiLevelType w:val="hybridMultilevel"/>
    <w:tmpl w:val="8B1C29C2"/>
    <w:lvl w:ilvl="0" w:tplc="D2687908">
      <w:start w:val="1"/>
      <w:numFmt w:val="lowerRoman"/>
      <w:lvlText w:val="%1."/>
      <w:lvlJc w:val="left"/>
      <w:pPr>
        <w:ind w:left="2520" w:hanging="72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7" w15:restartNumberingAfterBreak="0">
    <w:nsid w:val="30C22FFA"/>
    <w:multiLevelType w:val="hybridMultilevel"/>
    <w:tmpl w:val="E8828B6C"/>
    <w:lvl w:ilvl="0" w:tplc="B4BC400E">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8" w15:restartNumberingAfterBreak="0">
    <w:nsid w:val="32174775"/>
    <w:multiLevelType w:val="hybridMultilevel"/>
    <w:tmpl w:val="E98AFD4A"/>
    <w:lvl w:ilvl="0" w:tplc="D9AC3ADE">
      <w:start w:val="1"/>
      <w:numFmt w:val="decimal"/>
      <w:lvlText w:val="%1."/>
      <w:lvlJc w:val="left"/>
      <w:pPr>
        <w:ind w:left="2592" w:hanging="360"/>
      </w:pPr>
    </w:lvl>
    <w:lvl w:ilvl="1" w:tplc="04090019">
      <w:start w:val="1"/>
      <w:numFmt w:val="lowerLetter"/>
      <w:lvlText w:val="%2."/>
      <w:lvlJc w:val="left"/>
      <w:pPr>
        <w:ind w:left="3312" w:hanging="360"/>
      </w:pPr>
    </w:lvl>
    <w:lvl w:ilvl="2" w:tplc="0409001B">
      <w:start w:val="1"/>
      <w:numFmt w:val="lowerRoman"/>
      <w:lvlText w:val="%3."/>
      <w:lvlJc w:val="right"/>
      <w:pPr>
        <w:ind w:left="4032" w:hanging="180"/>
      </w:pPr>
    </w:lvl>
    <w:lvl w:ilvl="3" w:tplc="0409000F">
      <w:start w:val="1"/>
      <w:numFmt w:val="decimal"/>
      <w:lvlText w:val="%4."/>
      <w:lvlJc w:val="left"/>
      <w:pPr>
        <w:ind w:left="4752" w:hanging="360"/>
      </w:pPr>
    </w:lvl>
    <w:lvl w:ilvl="4" w:tplc="04090019">
      <w:start w:val="1"/>
      <w:numFmt w:val="lowerLetter"/>
      <w:lvlText w:val="%5."/>
      <w:lvlJc w:val="left"/>
      <w:pPr>
        <w:ind w:left="5472" w:hanging="360"/>
      </w:pPr>
    </w:lvl>
    <w:lvl w:ilvl="5" w:tplc="0409001B">
      <w:start w:val="1"/>
      <w:numFmt w:val="lowerRoman"/>
      <w:lvlText w:val="%6."/>
      <w:lvlJc w:val="right"/>
      <w:pPr>
        <w:ind w:left="6192" w:hanging="180"/>
      </w:pPr>
    </w:lvl>
    <w:lvl w:ilvl="6" w:tplc="0409000F">
      <w:start w:val="1"/>
      <w:numFmt w:val="decimal"/>
      <w:lvlText w:val="%7."/>
      <w:lvlJc w:val="left"/>
      <w:pPr>
        <w:ind w:left="6912" w:hanging="360"/>
      </w:pPr>
    </w:lvl>
    <w:lvl w:ilvl="7" w:tplc="04090019">
      <w:start w:val="1"/>
      <w:numFmt w:val="lowerLetter"/>
      <w:lvlText w:val="%8."/>
      <w:lvlJc w:val="left"/>
      <w:pPr>
        <w:ind w:left="7632" w:hanging="360"/>
      </w:pPr>
    </w:lvl>
    <w:lvl w:ilvl="8" w:tplc="0409001B">
      <w:start w:val="1"/>
      <w:numFmt w:val="lowerRoman"/>
      <w:lvlText w:val="%9."/>
      <w:lvlJc w:val="right"/>
      <w:pPr>
        <w:ind w:left="8352" w:hanging="180"/>
      </w:pPr>
    </w:lvl>
  </w:abstractNum>
  <w:abstractNum w:abstractNumId="9" w15:restartNumberingAfterBreak="0">
    <w:nsid w:val="429F0AD4"/>
    <w:multiLevelType w:val="hybridMultilevel"/>
    <w:tmpl w:val="4614E956"/>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 w15:restartNumberingAfterBreak="0">
    <w:nsid w:val="44744CC2"/>
    <w:multiLevelType w:val="hybridMultilevel"/>
    <w:tmpl w:val="472CFACE"/>
    <w:lvl w:ilvl="0" w:tplc="C8BC5EE8">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15:restartNumberingAfterBreak="0">
    <w:nsid w:val="46235DFF"/>
    <w:multiLevelType w:val="hybridMultilevel"/>
    <w:tmpl w:val="2408BF08"/>
    <w:lvl w:ilvl="0" w:tplc="D8F81DBC">
      <w:start w:val="1"/>
      <w:numFmt w:val="lowerRoman"/>
      <w:lvlText w:val="%1."/>
      <w:lvlJc w:val="left"/>
      <w:pPr>
        <w:ind w:left="2520" w:hanging="72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12" w15:restartNumberingAfterBreak="0">
    <w:nsid w:val="47BE0ED9"/>
    <w:multiLevelType w:val="hybridMultilevel"/>
    <w:tmpl w:val="FEACA0D2"/>
    <w:lvl w:ilvl="0" w:tplc="3760D138">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3" w15:restartNumberingAfterBreak="0">
    <w:nsid w:val="4EFE30D4"/>
    <w:multiLevelType w:val="hybridMultilevel"/>
    <w:tmpl w:val="0FCC5E62"/>
    <w:lvl w:ilvl="0" w:tplc="08CA956E">
      <w:start w:val="1"/>
      <w:numFmt w:val="lowerLetter"/>
      <w:lvlText w:val="%1."/>
      <w:lvlJc w:val="left"/>
      <w:pPr>
        <w:ind w:left="2952" w:hanging="360"/>
      </w:pPr>
    </w:lvl>
    <w:lvl w:ilvl="1" w:tplc="04090019">
      <w:start w:val="1"/>
      <w:numFmt w:val="lowerLetter"/>
      <w:lvlText w:val="%2."/>
      <w:lvlJc w:val="left"/>
      <w:pPr>
        <w:ind w:left="3672" w:hanging="360"/>
      </w:pPr>
    </w:lvl>
    <w:lvl w:ilvl="2" w:tplc="0409001B">
      <w:start w:val="1"/>
      <w:numFmt w:val="lowerRoman"/>
      <w:lvlText w:val="%3."/>
      <w:lvlJc w:val="right"/>
      <w:pPr>
        <w:ind w:left="4392" w:hanging="180"/>
      </w:pPr>
    </w:lvl>
    <w:lvl w:ilvl="3" w:tplc="0409000F">
      <w:start w:val="1"/>
      <w:numFmt w:val="decimal"/>
      <w:lvlText w:val="%4."/>
      <w:lvlJc w:val="left"/>
      <w:pPr>
        <w:ind w:left="5112" w:hanging="360"/>
      </w:pPr>
    </w:lvl>
    <w:lvl w:ilvl="4" w:tplc="04090019">
      <w:start w:val="1"/>
      <w:numFmt w:val="lowerLetter"/>
      <w:lvlText w:val="%5."/>
      <w:lvlJc w:val="left"/>
      <w:pPr>
        <w:ind w:left="5832" w:hanging="360"/>
      </w:pPr>
    </w:lvl>
    <w:lvl w:ilvl="5" w:tplc="0409001B">
      <w:start w:val="1"/>
      <w:numFmt w:val="lowerRoman"/>
      <w:lvlText w:val="%6."/>
      <w:lvlJc w:val="right"/>
      <w:pPr>
        <w:ind w:left="6552" w:hanging="180"/>
      </w:pPr>
    </w:lvl>
    <w:lvl w:ilvl="6" w:tplc="0409000F">
      <w:start w:val="1"/>
      <w:numFmt w:val="decimal"/>
      <w:lvlText w:val="%7."/>
      <w:lvlJc w:val="left"/>
      <w:pPr>
        <w:ind w:left="7272" w:hanging="360"/>
      </w:pPr>
    </w:lvl>
    <w:lvl w:ilvl="7" w:tplc="04090019">
      <w:start w:val="1"/>
      <w:numFmt w:val="lowerLetter"/>
      <w:lvlText w:val="%8."/>
      <w:lvlJc w:val="left"/>
      <w:pPr>
        <w:ind w:left="7992" w:hanging="360"/>
      </w:pPr>
    </w:lvl>
    <w:lvl w:ilvl="8" w:tplc="0409001B">
      <w:start w:val="1"/>
      <w:numFmt w:val="lowerRoman"/>
      <w:lvlText w:val="%9."/>
      <w:lvlJc w:val="right"/>
      <w:pPr>
        <w:ind w:left="8712" w:hanging="180"/>
      </w:pPr>
    </w:lvl>
  </w:abstractNum>
  <w:abstractNum w:abstractNumId="14" w15:restartNumberingAfterBreak="0">
    <w:nsid w:val="4F6773E6"/>
    <w:multiLevelType w:val="hybridMultilevel"/>
    <w:tmpl w:val="17380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D670A1"/>
    <w:multiLevelType w:val="hybridMultilevel"/>
    <w:tmpl w:val="40D24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F17187"/>
    <w:multiLevelType w:val="hybridMultilevel"/>
    <w:tmpl w:val="48C4F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8F6E17"/>
    <w:multiLevelType w:val="hybridMultilevel"/>
    <w:tmpl w:val="AD60E374"/>
    <w:lvl w:ilvl="0" w:tplc="51849F8E">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2AA4EF3"/>
    <w:multiLevelType w:val="hybridMultilevel"/>
    <w:tmpl w:val="30D60E24"/>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B4430B"/>
    <w:multiLevelType w:val="hybridMultilevel"/>
    <w:tmpl w:val="C9E28C9C"/>
    <w:lvl w:ilvl="0" w:tplc="F4143F7C">
      <w:start w:val="1"/>
      <w:numFmt w:val="upp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68B117A3"/>
    <w:multiLevelType w:val="hybridMultilevel"/>
    <w:tmpl w:val="2688A530"/>
    <w:lvl w:ilvl="0" w:tplc="4718B60A">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1" w15:restartNumberingAfterBreak="0">
    <w:nsid w:val="6ABE3828"/>
    <w:multiLevelType w:val="hybridMultilevel"/>
    <w:tmpl w:val="EEE0B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9489F"/>
    <w:multiLevelType w:val="hybridMultilevel"/>
    <w:tmpl w:val="FDF67B4A"/>
    <w:lvl w:ilvl="0" w:tplc="341680F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B31037"/>
    <w:multiLevelType w:val="hybridMultilevel"/>
    <w:tmpl w:val="93861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680FD3"/>
    <w:multiLevelType w:val="multilevel"/>
    <w:tmpl w:val="AF6C3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FD67FDB"/>
    <w:multiLevelType w:val="hybridMultilevel"/>
    <w:tmpl w:val="AC9C6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19373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093068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87475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681832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14167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005184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26262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35996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949778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901168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296272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87039825">
    <w:abstractNumId w:val="24"/>
    <w:lvlOverride w:ilvl="0">
      <w:lvl w:ilvl="0">
        <w:numFmt w:val="bullet"/>
        <w:lvlText w:val="o"/>
        <w:lvlJc w:val="left"/>
        <w:pPr>
          <w:tabs>
            <w:tab w:val="num" w:pos="720"/>
          </w:tabs>
          <w:ind w:left="720" w:hanging="360"/>
        </w:pPr>
        <w:rPr>
          <w:rFonts w:ascii="Courier New" w:hAnsi="Courier New" w:hint="default"/>
          <w:sz w:val="20"/>
        </w:rPr>
      </w:lvl>
    </w:lvlOverride>
  </w:num>
  <w:num w:numId="13" w16cid:durableId="114294838">
    <w:abstractNumId w:val="24"/>
    <w:lvlOverride w:ilvl="0">
      <w:lvl w:ilvl="0">
        <w:numFmt w:val="bullet"/>
        <w:lvlText w:val="o"/>
        <w:lvlJc w:val="left"/>
        <w:pPr>
          <w:tabs>
            <w:tab w:val="num" w:pos="720"/>
          </w:tabs>
          <w:ind w:left="720" w:hanging="360"/>
        </w:pPr>
        <w:rPr>
          <w:rFonts w:ascii="Courier New" w:hAnsi="Courier New" w:hint="default"/>
          <w:sz w:val="20"/>
        </w:rPr>
      </w:lvl>
    </w:lvlOverride>
    <w:lvlOverride w:ilvl="1">
      <w:lvl w:ilvl="1">
        <w:numFmt w:val="bullet"/>
        <w:lvlText w:val=""/>
        <w:lvlJc w:val="left"/>
        <w:pPr>
          <w:tabs>
            <w:tab w:val="num" w:pos="1440"/>
          </w:tabs>
          <w:ind w:left="1440" w:hanging="360"/>
        </w:pPr>
        <w:rPr>
          <w:rFonts w:ascii="Symbol" w:hAnsi="Symbol" w:hint="default"/>
          <w:sz w:val="20"/>
        </w:rPr>
      </w:lvl>
    </w:lvlOverride>
  </w:num>
  <w:num w:numId="14" w16cid:durableId="1623728910">
    <w:abstractNumId w:val="2"/>
  </w:num>
  <w:num w:numId="15" w16cid:durableId="525489242">
    <w:abstractNumId w:val="5"/>
  </w:num>
  <w:num w:numId="16" w16cid:durableId="1855455864">
    <w:abstractNumId w:val="16"/>
  </w:num>
  <w:num w:numId="17" w16cid:durableId="1330522520">
    <w:abstractNumId w:val="14"/>
  </w:num>
  <w:num w:numId="18" w16cid:durableId="1492600951">
    <w:abstractNumId w:val="23"/>
  </w:num>
  <w:num w:numId="19" w16cid:durableId="464662952">
    <w:abstractNumId w:val="4"/>
  </w:num>
  <w:num w:numId="20" w16cid:durableId="927887014">
    <w:abstractNumId w:val="15"/>
  </w:num>
  <w:num w:numId="21" w16cid:durableId="1789856927">
    <w:abstractNumId w:val="25"/>
  </w:num>
  <w:num w:numId="22" w16cid:durableId="228931445">
    <w:abstractNumId w:val="22"/>
  </w:num>
  <w:num w:numId="23" w16cid:durableId="816385019">
    <w:abstractNumId w:val="1"/>
  </w:num>
  <w:num w:numId="24" w16cid:durableId="1167087082">
    <w:abstractNumId w:val="9"/>
  </w:num>
  <w:num w:numId="25" w16cid:durableId="600842853">
    <w:abstractNumId w:val="0"/>
  </w:num>
  <w:num w:numId="26" w16cid:durableId="1176068615">
    <w:abstractNumId w:val="21"/>
  </w:num>
  <w:num w:numId="27" w16cid:durableId="1781795188">
    <w:abstractNumId w:val="18"/>
  </w:num>
  <w:num w:numId="28" w16cid:durableId="25907359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3BEB"/>
    <w:rsid w:val="0002387E"/>
    <w:rsid w:val="000350DB"/>
    <w:rsid w:val="00043F54"/>
    <w:rsid w:val="00084F08"/>
    <w:rsid w:val="000B5FA8"/>
    <w:rsid w:val="000B7AF5"/>
    <w:rsid w:val="000D5CEB"/>
    <w:rsid w:val="00103BEB"/>
    <w:rsid w:val="00175C48"/>
    <w:rsid w:val="001A227F"/>
    <w:rsid w:val="001B731A"/>
    <w:rsid w:val="001D2565"/>
    <w:rsid w:val="00203866"/>
    <w:rsid w:val="00230909"/>
    <w:rsid w:val="00234CD7"/>
    <w:rsid w:val="00240999"/>
    <w:rsid w:val="0025318C"/>
    <w:rsid w:val="002A3435"/>
    <w:rsid w:val="002D66E2"/>
    <w:rsid w:val="00311FCF"/>
    <w:rsid w:val="003143AD"/>
    <w:rsid w:val="003A4EF8"/>
    <w:rsid w:val="003E0009"/>
    <w:rsid w:val="00461F2B"/>
    <w:rsid w:val="004E53A3"/>
    <w:rsid w:val="004F0A13"/>
    <w:rsid w:val="004F5E98"/>
    <w:rsid w:val="00523CA6"/>
    <w:rsid w:val="00533E6E"/>
    <w:rsid w:val="00584808"/>
    <w:rsid w:val="00590244"/>
    <w:rsid w:val="005F7F2E"/>
    <w:rsid w:val="00604519"/>
    <w:rsid w:val="006631D2"/>
    <w:rsid w:val="00672A04"/>
    <w:rsid w:val="006A7E98"/>
    <w:rsid w:val="006B4434"/>
    <w:rsid w:val="006D0F6A"/>
    <w:rsid w:val="00712280"/>
    <w:rsid w:val="00760B6A"/>
    <w:rsid w:val="00763870"/>
    <w:rsid w:val="007C04EF"/>
    <w:rsid w:val="007F5954"/>
    <w:rsid w:val="00823595"/>
    <w:rsid w:val="00826EA1"/>
    <w:rsid w:val="00863319"/>
    <w:rsid w:val="00867630"/>
    <w:rsid w:val="008777E3"/>
    <w:rsid w:val="008D05CB"/>
    <w:rsid w:val="008E758F"/>
    <w:rsid w:val="00976B83"/>
    <w:rsid w:val="009B3AC8"/>
    <w:rsid w:val="009B3BFB"/>
    <w:rsid w:val="009C3087"/>
    <w:rsid w:val="00A034EA"/>
    <w:rsid w:val="00A058AA"/>
    <w:rsid w:val="00A17E30"/>
    <w:rsid w:val="00A53822"/>
    <w:rsid w:val="00A75486"/>
    <w:rsid w:val="00AD7B76"/>
    <w:rsid w:val="00B249A9"/>
    <w:rsid w:val="00B44D13"/>
    <w:rsid w:val="00B777C6"/>
    <w:rsid w:val="00B91284"/>
    <w:rsid w:val="00BA523D"/>
    <w:rsid w:val="00BD37A2"/>
    <w:rsid w:val="00BD613E"/>
    <w:rsid w:val="00BE619F"/>
    <w:rsid w:val="00C33248"/>
    <w:rsid w:val="00CC3E0E"/>
    <w:rsid w:val="00D179E4"/>
    <w:rsid w:val="00D511D3"/>
    <w:rsid w:val="00D73591"/>
    <w:rsid w:val="00D86420"/>
    <w:rsid w:val="00DB6CDA"/>
    <w:rsid w:val="00DC15E7"/>
    <w:rsid w:val="00DC6B12"/>
    <w:rsid w:val="00DC7553"/>
    <w:rsid w:val="00E0373F"/>
    <w:rsid w:val="00E22D05"/>
    <w:rsid w:val="00E61BB4"/>
    <w:rsid w:val="00E73051"/>
    <w:rsid w:val="00E839E2"/>
    <w:rsid w:val="00E91088"/>
    <w:rsid w:val="00EC0AAC"/>
    <w:rsid w:val="00ED23E7"/>
    <w:rsid w:val="00EE4A31"/>
    <w:rsid w:val="00F01616"/>
    <w:rsid w:val="00F2774F"/>
    <w:rsid w:val="00F33604"/>
    <w:rsid w:val="00F705F3"/>
    <w:rsid w:val="00F7376A"/>
    <w:rsid w:val="00FA1AA1"/>
    <w:rsid w:val="00FC5CC5"/>
    <w:rsid w:val="00FE24E4"/>
    <w:rsid w:val="00FF3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328B6"/>
  <w15:chartTrackingRefBased/>
  <w15:docId w15:val="{A8C17DC2-2AE9-4139-AB0A-4AEB531E0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A13"/>
  </w:style>
  <w:style w:type="paragraph" w:styleId="Heading1">
    <w:name w:val="heading 1"/>
    <w:basedOn w:val="Normal"/>
    <w:next w:val="Normal"/>
    <w:link w:val="Heading1Char"/>
    <w:uiPriority w:val="9"/>
    <w:qFormat/>
    <w:rsid w:val="00A058AA"/>
    <w:pPr>
      <w:keepNext/>
      <w:keepLines/>
      <w:spacing w:before="240" w:after="0"/>
      <w:outlineLvl w:val="0"/>
    </w:pPr>
    <w:rPr>
      <w:rFonts w:ascii="Verdana" w:eastAsiaTheme="majorEastAsia" w:hAnsi="Verdana" w:cstheme="majorBidi"/>
      <w:b/>
      <w:sz w:val="28"/>
      <w:szCs w:val="32"/>
    </w:rPr>
  </w:style>
  <w:style w:type="paragraph" w:styleId="Heading2">
    <w:name w:val="heading 2"/>
    <w:basedOn w:val="Normal"/>
    <w:next w:val="Normal"/>
    <w:link w:val="Heading2Char"/>
    <w:uiPriority w:val="9"/>
    <w:unhideWhenUsed/>
    <w:qFormat/>
    <w:rsid w:val="00A058AA"/>
    <w:pPr>
      <w:keepNext/>
      <w:keepLines/>
      <w:spacing w:before="40" w:after="0"/>
      <w:outlineLvl w:val="1"/>
    </w:pPr>
    <w:rPr>
      <w:rFonts w:ascii="Verdana" w:eastAsiaTheme="majorEastAsia" w:hAnsi="Verdana" w:cstheme="majorBidi"/>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3BEB"/>
    <w:pPr>
      <w:spacing w:after="0" w:line="240" w:lineRule="auto"/>
      <w:ind w:left="720"/>
    </w:pPr>
    <w:rPr>
      <w:rFonts w:ascii="Calibri" w:hAnsi="Calibri" w:cs="Calibri"/>
    </w:rPr>
  </w:style>
  <w:style w:type="paragraph" w:styleId="Title">
    <w:name w:val="Title"/>
    <w:basedOn w:val="Normal"/>
    <w:next w:val="Normal"/>
    <w:link w:val="TitleChar"/>
    <w:uiPriority w:val="10"/>
    <w:qFormat/>
    <w:rsid w:val="00B91284"/>
    <w:pPr>
      <w:spacing w:after="0" w:line="240" w:lineRule="auto"/>
      <w:contextualSpacing/>
    </w:pPr>
    <w:rPr>
      <w:rFonts w:ascii="Verdana" w:eastAsiaTheme="majorEastAsia" w:hAnsi="Verdana" w:cstheme="majorBidi"/>
      <w:b/>
      <w:spacing w:val="-10"/>
      <w:kern w:val="28"/>
      <w:sz w:val="32"/>
      <w:szCs w:val="56"/>
    </w:rPr>
  </w:style>
  <w:style w:type="character" w:customStyle="1" w:styleId="TitleChar">
    <w:name w:val="Title Char"/>
    <w:basedOn w:val="DefaultParagraphFont"/>
    <w:link w:val="Title"/>
    <w:uiPriority w:val="10"/>
    <w:rsid w:val="00B91284"/>
    <w:rPr>
      <w:rFonts w:ascii="Verdana" w:eastAsiaTheme="majorEastAsia" w:hAnsi="Verdana" w:cstheme="majorBidi"/>
      <w:b/>
      <w:spacing w:val="-10"/>
      <w:kern w:val="28"/>
      <w:sz w:val="32"/>
      <w:szCs w:val="56"/>
    </w:rPr>
  </w:style>
  <w:style w:type="paragraph" w:styleId="Subtitle">
    <w:name w:val="Subtitle"/>
    <w:basedOn w:val="Normal"/>
    <w:next w:val="Normal"/>
    <w:link w:val="SubtitleChar"/>
    <w:uiPriority w:val="11"/>
    <w:qFormat/>
    <w:rsid w:val="00B91284"/>
    <w:pPr>
      <w:numPr>
        <w:ilvl w:val="1"/>
      </w:numPr>
      <w:jc w:val="center"/>
    </w:pPr>
    <w:rPr>
      <w:rFonts w:ascii="Verdana" w:eastAsiaTheme="minorEastAsia" w:hAnsi="Verdana"/>
      <w:b/>
      <w:spacing w:val="15"/>
      <w:sz w:val="28"/>
    </w:rPr>
  </w:style>
  <w:style w:type="character" w:customStyle="1" w:styleId="SubtitleChar">
    <w:name w:val="Subtitle Char"/>
    <w:basedOn w:val="DefaultParagraphFont"/>
    <w:link w:val="Subtitle"/>
    <w:uiPriority w:val="11"/>
    <w:rsid w:val="00B91284"/>
    <w:rPr>
      <w:rFonts w:ascii="Verdana" w:eastAsiaTheme="minorEastAsia" w:hAnsi="Verdana"/>
      <w:b/>
      <w:spacing w:val="15"/>
      <w:sz w:val="28"/>
    </w:rPr>
  </w:style>
  <w:style w:type="character" w:customStyle="1" w:styleId="Heading1Char">
    <w:name w:val="Heading 1 Char"/>
    <w:basedOn w:val="DefaultParagraphFont"/>
    <w:link w:val="Heading1"/>
    <w:uiPriority w:val="9"/>
    <w:rsid w:val="00A058AA"/>
    <w:rPr>
      <w:rFonts w:ascii="Verdana" w:eastAsiaTheme="majorEastAsia" w:hAnsi="Verdana" w:cstheme="majorBidi"/>
      <w:b/>
      <w:sz w:val="28"/>
      <w:szCs w:val="32"/>
    </w:rPr>
  </w:style>
  <w:style w:type="character" w:customStyle="1" w:styleId="Heading2Char">
    <w:name w:val="Heading 2 Char"/>
    <w:basedOn w:val="DefaultParagraphFont"/>
    <w:link w:val="Heading2"/>
    <w:uiPriority w:val="9"/>
    <w:rsid w:val="00A058AA"/>
    <w:rPr>
      <w:rFonts w:ascii="Verdana" w:eastAsiaTheme="majorEastAsia" w:hAnsi="Verdana" w:cstheme="majorBidi"/>
      <w:sz w:val="24"/>
      <w:szCs w:val="26"/>
    </w:rPr>
  </w:style>
  <w:style w:type="paragraph" w:styleId="TOCHeading">
    <w:name w:val="TOC Heading"/>
    <w:basedOn w:val="Heading1"/>
    <w:next w:val="Normal"/>
    <w:uiPriority w:val="39"/>
    <w:unhideWhenUsed/>
    <w:qFormat/>
    <w:rsid w:val="004F0A13"/>
    <w:pPr>
      <w:outlineLvl w:val="9"/>
    </w:pPr>
  </w:style>
  <w:style w:type="paragraph" w:styleId="TOC1">
    <w:name w:val="toc 1"/>
    <w:basedOn w:val="Normal"/>
    <w:next w:val="Normal"/>
    <w:autoRedefine/>
    <w:uiPriority w:val="39"/>
    <w:unhideWhenUsed/>
    <w:rsid w:val="004F0A13"/>
    <w:pPr>
      <w:spacing w:after="100"/>
    </w:pPr>
  </w:style>
  <w:style w:type="paragraph" w:styleId="TOC2">
    <w:name w:val="toc 2"/>
    <w:basedOn w:val="Normal"/>
    <w:next w:val="Normal"/>
    <w:autoRedefine/>
    <w:uiPriority w:val="39"/>
    <w:unhideWhenUsed/>
    <w:rsid w:val="004F0A13"/>
    <w:pPr>
      <w:spacing w:after="100"/>
      <w:ind w:left="220"/>
    </w:pPr>
  </w:style>
  <w:style w:type="character" w:styleId="Hyperlink">
    <w:name w:val="Hyperlink"/>
    <w:basedOn w:val="DefaultParagraphFont"/>
    <w:uiPriority w:val="99"/>
    <w:unhideWhenUsed/>
    <w:rsid w:val="004F0A13"/>
    <w:rPr>
      <w:color w:val="0563C1" w:themeColor="hyperlink"/>
      <w:u w:val="single"/>
    </w:rPr>
  </w:style>
  <w:style w:type="paragraph" w:styleId="BalloonText">
    <w:name w:val="Balloon Text"/>
    <w:basedOn w:val="Normal"/>
    <w:link w:val="BalloonTextChar"/>
    <w:uiPriority w:val="99"/>
    <w:semiHidden/>
    <w:unhideWhenUsed/>
    <w:rsid w:val="00DC6B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6B12"/>
    <w:rPr>
      <w:rFonts w:ascii="Segoe UI" w:hAnsi="Segoe UI" w:cs="Segoe UI"/>
      <w:sz w:val="18"/>
      <w:szCs w:val="18"/>
    </w:rPr>
  </w:style>
  <w:style w:type="paragraph" w:styleId="Header">
    <w:name w:val="header"/>
    <w:basedOn w:val="Normal"/>
    <w:link w:val="HeaderChar"/>
    <w:uiPriority w:val="99"/>
    <w:unhideWhenUsed/>
    <w:rsid w:val="000238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387E"/>
  </w:style>
  <w:style w:type="paragraph" w:styleId="Footer">
    <w:name w:val="footer"/>
    <w:basedOn w:val="Normal"/>
    <w:link w:val="FooterChar"/>
    <w:uiPriority w:val="99"/>
    <w:unhideWhenUsed/>
    <w:rsid w:val="000238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387E"/>
  </w:style>
  <w:style w:type="character" w:styleId="UnresolvedMention">
    <w:name w:val="Unresolved Mention"/>
    <w:basedOn w:val="DefaultParagraphFont"/>
    <w:uiPriority w:val="99"/>
    <w:semiHidden/>
    <w:unhideWhenUsed/>
    <w:rsid w:val="008D05CB"/>
    <w:rPr>
      <w:color w:val="605E5C"/>
      <w:shd w:val="clear" w:color="auto" w:fill="E1DFDD"/>
    </w:rPr>
  </w:style>
  <w:style w:type="character" w:styleId="CommentReference">
    <w:name w:val="annotation reference"/>
    <w:basedOn w:val="DefaultParagraphFont"/>
    <w:uiPriority w:val="99"/>
    <w:semiHidden/>
    <w:unhideWhenUsed/>
    <w:rsid w:val="002D66E2"/>
    <w:rPr>
      <w:sz w:val="16"/>
      <w:szCs w:val="16"/>
    </w:rPr>
  </w:style>
  <w:style w:type="paragraph" w:styleId="CommentText">
    <w:name w:val="annotation text"/>
    <w:basedOn w:val="Normal"/>
    <w:link w:val="CommentTextChar"/>
    <w:uiPriority w:val="99"/>
    <w:unhideWhenUsed/>
    <w:rsid w:val="002D66E2"/>
    <w:pPr>
      <w:spacing w:line="240" w:lineRule="auto"/>
    </w:pPr>
    <w:rPr>
      <w:sz w:val="20"/>
      <w:szCs w:val="20"/>
    </w:rPr>
  </w:style>
  <w:style w:type="character" w:customStyle="1" w:styleId="CommentTextChar">
    <w:name w:val="Comment Text Char"/>
    <w:basedOn w:val="DefaultParagraphFont"/>
    <w:link w:val="CommentText"/>
    <w:uiPriority w:val="99"/>
    <w:rsid w:val="002D66E2"/>
    <w:rPr>
      <w:sz w:val="20"/>
      <w:szCs w:val="20"/>
    </w:rPr>
  </w:style>
  <w:style w:type="paragraph" w:styleId="CommentSubject">
    <w:name w:val="annotation subject"/>
    <w:basedOn w:val="CommentText"/>
    <w:next w:val="CommentText"/>
    <w:link w:val="CommentSubjectChar"/>
    <w:uiPriority w:val="99"/>
    <w:semiHidden/>
    <w:unhideWhenUsed/>
    <w:rsid w:val="002D66E2"/>
    <w:rPr>
      <w:b/>
      <w:bCs/>
    </w:rPr>
  </w:style>
  <w:style w:type="character" w:customStyle="1" w:styleId="CommentSubjectChar">
    <w:name w:val="Comment Subject Char"/>
    <w:basedOn w:val="CommentTextChar"/>
    <w:link w:val="CommentSubject"/>
    <w:uiPriority w:val="99"/>
    <w:semiHidden/>
    <w:rsid w:val="002D66E2"/>
    <w:rPr>
      <w:b/>
      <w:bCs/>
      <w:sz w:val="20"/>
      <w:szCs w:val="20"/>
    </w:rPr>
  </w:style>
  <w:style w:type="paragraph" w:styleId="NoSpacing">
    <w:name w:val="No Spacing"/>
    <w:uiPriority w:val="1"/>
    <w:qFormat/>
    <w:rsid w:val="00823595"/>
    <w:pPr>
      <w:spacing w:after="0" w:line="240" w:lineRule="auto"/>
    </w:pPr>
    <w:rPr>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0358720">
      <w:bodyDiv w:val="1"/>
      <w:marLeft w:val="0"/>
      <w:marRight w:val="0"/>
      <w:marTop w:val="0"/>
      <w:marBottom w:val="0"/>
      <w:divBdr>
        <w:top w:val="none" w:sz="0" w:space="0" w:color="auto"/>
        <w:left w:val="none" w:sz="0" w:space="0" w:color="auto"/>
        <w:bottom w:val="none" w:sz="0" w:space="0" w:color="auto"/>
        <w:right w:val="none" w:sz="0" w:space="0" w:color="auto"/>
      </w:divBdr>
    </w:div>
    <w:div w:id="1262683635">
      <w:bodyDiv w:val="1"/>
      <w:marLeft w:val="0"/>
      <w:marRight w:val="0"/>
      <w:marTop w:val="0"/>
      <w:marBottom w:val="0"/>
      <w:divBdr>
        <w:top w:val="none" w:sz="0" w:space="0" w:color="auto"/>
        <w:left w:val="none" w:sz="0" w:space="0" w:color="auto"/>
        <w:bottom w:val="none" w:sz="0" w:space="0" w:color="auto"/>
        <w:right w:val="none" w:sz="0" w:space="0" w:color="auto"/>
      </w:divBdr>
      <w:divsChild>
        <w:div w:id="529956431">
          <w:marLeft w:val="0"/>
          <w:marRight w:val="0"/>
          <w:marTop w:val="0"/>
          <w:marBottom w:val="0"/>
          <w:divBdr>
            <w:top w:val="none" w:sz="0" w:space="0" w:color="auto"/>
            <w:left w:val="none" w:sz="0" w:space="0" w:color="auto"/>
            <w:bottom w:val="none" w:sz="0" w:space="0" w:color="auto"/>
            <w:right w:val="none" w:sz="0" w:space="0" w:color="auto"/>
          </w:divBdr>
          <w:divsChild>
            <w:div w:id="19473475">
              <w:marLeft w:val="0"/>
              <w:marRight w:val="0"/>
              <w:marTop w:val="0"/>
              <w:marBottom w:val="0"/>
              <w:divBdr>
                <w:top w:val="none" w:sz="0" w:space="0" w:color="auto"/>
                <w:left w:val="none" w:sz="0" w:space="0" w:color="auto"/>
                <w:bottom w:val="none" w:sz="0" w:space="0" w:color="auto"/>
                <w:right w:val="none" w:sz="0" w:space="0" w:color="auto"/>
              </w:divBdr>
              <w:divsChild>
                <w:div w:id="1318144899">
                  <w:marLeft w:val="0"/>
                  <w:marRight w:val="0"/>
                  <w:marTop w:val="0"/>
                  <w:marBottom w:val="0"/>
                  <w:divBdr>
                    <w:top w:val="none" w:sz="0" w:space="0" w:color="auto"/>
                    <w:left w:val="none" w:sz="0" w:space="0" w:color="auto"/>
                    <w:bottom w:val="none" w:sz="0" w:space="0" w:color="auto"/>
                    <w:right w:val="none" w:sz="0" w:space="0" w:color="auto"/>
                  </w:divBdr>
                  <w:divsChild>
                    <w:div w:id="1947039027">
                      <w:marLeft w:val="0"/>
                      <w:marRight w:val="0"/>
                      <w:marTop w:val="0"/>
                      <w:marBottom w:val="0"/>
                      <w:divBdr>
                        <w:top w:val="none" w:sz="0" w:space="0" w:color="auto"/>
                        <w:left w:val="none" w:sz="0" w:space="0" w:color="auto"/>
                        <w:bottom w:val="none" w:sz="0" w:space="0" w:color="auto"/>
                        <w:right w:val="none" w:sz="0" w:space="0" w:color="auto"/>
                      </w:divBdr>
                      <w:divsChild>
                        <w:div w:id="473105274">
                          <w:marLeft w:val="-225"/>
                          <w:marRight w:val="-225"/>
                          <w:marTop w:val="0"/>
                          <w:marBottom w:val="0"/>
                          <w:divBdr>
                            <w:top w:val="none" w:sz="0" w:space="0" w:color="auto"/>
                            <w:left w:val="none" w:sz="0" w:space="0" w:color="auto"/>
                            <w:bottom w:val="none" w:sz="0" w:space="0" w:color="auto"/>
                            <w:right w:val="none" w:sz="0" w:space="0" w:color="auto"/>
                          </w:divBdr>
                          <w:divsChild>
                            <w:div w:id="2012442689">
                              <w:marLeft w:val="0"/>
                              <w:marRight w:val="0"/>
                              <w:marTop w:val="0"/>
                              <w:marBottom w:val="0"/>
                              <w:divBdr>
                                <w:top w:val="none" w:sz="0" w:space="0" w:color="auto"/>
                                <w:left w:val="none" w:sz="0" w:space="0" w:color="auto"/>
                                <w:bottom w:val="none" w:sz="0" w:space="0" w:color="auto"/>
                                <w:right w:val="none" w:sz="0" w:space="0" w:color="auto"/>
                              </w:divBdr>
                              <w:divsChild>
                                <w:div w:id="565921246">
                                  <w:marLeft w:val="0"/>
                                  <w:marRight w:val="0"/>
                                  <w:marTop w:val="0"/>
                                  <w:marBottom w:val="0"/>
                                  <w:divBdr>
                                    <w:top w:val="none" w:sz="0" w:space="0" w:color="auto"/>
                                    <w:left w:val="none" w:sz="0" w:space="0" w:color="auto"/>
                                    <w:bottom w:val="none" w:sz="0" w:space="0" w:color="auto"/>
                                    <w:right w:val="none" w:sz="0" w:space="0" w:color="auto"/>
                                  </w:divBdr>
                                  <w:divsChild>
                                    <w:div w:id="900481720">
                                      <w:marLeft w:val="0"/>
                                      <w:marRight w:val="0"/>
                                      <w:marTop w:val="0"/>
                                      <w:marBottom w:val="0"/>
                                      <w:divBdr>
                                        <w:top w:val="none" w:sz="0" w:space="0" w:color="auto"/>
                                        <w:left w:val="none" w:sz="0" w:space="0" w:color="auto"/>
                                        <w:bottom w:val="none" w:sz="0" w:space="0" w:color="auto"/>
                                        <w:right w:val="none" w:sz="0" w:space="0" w:color="auto"/>
                                      </w:divBdr>
                                      <w:divsChild>
                                        <w:div w:id="1408452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619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dcj.texas.gov/"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548</TotalTime>
  <Pages>7</Pages>
  <Words>1519</Words>
  <Characters>9069</Characters>
  <Application>Microsoft Office Word</Application>
  <DocSecurity>0</DocSecurity>
  <Lines>238</Lines>
  <Paragraphs>113</Paragraphs>
  <ScaleCrop>false</ScaleCrop>
  <HeadingPairs>
    <vt:vector size="2" baseType="variant">
      <vt:variant>
        <vt:lpstr>Title</vt:lpstr>
      </vt:variant>
      <vt:variant>
        <vt:i4>1</vt:i4>
      </vt:variant>
    </vt:vector>
  </HeadingPairs>
  <TitlesOfParts>
    <vt:vector size="1" baseType="lpstr">
      <vt:lpstr/>
    </vt:vector>
  </TitlesOfParts>
  <Company>Office of the Governor</Company>
  <LinksUpToDate>false</LinksUpToDate>
  <CharactersWithSpaces>10475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Nancy Van Loan</dc:creator>
  <cp:keywords/>
  <dc:description/>
  <cp:lastModifiedBy>Emily Eisenman</cp:lastModifiedBy>
  <cp:revision>4</cp:revision>
  <cp:lastPrinted>2026-01-08T16:55:00Z</cp:lastPrinted>
  <dcterms:created xsi:type="dcterms:W3CDTF">2025-12-08T16:21:00Z</dcterms:created>
  <dcterms:modified xsi:type="dcterms:W3CDTF">2026-01-08T16:56:00Z</dcterms:modified>
</cp:coreProperties>
</file>